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lang w:val="en-GB"/>
        </w:rPr>
        <w:id w:val="-39677985"/>
        <w:docPartObj>
          <w:docPartGallery w:val="Cover Pages"/>
          <w:docPartUnique/>
        </w:docPartObj>
      </w:sdtPr>
      <w:sdtEndPr/>
      <w:sdtContent>
        <w:p w14:paraId="0D0B940D" w14:textId="0142BC1A" w:rsidR="00CB479C" w:rsidRDefault="00CB479C" w:rsidP="00A23722">
          <w:pPr>
            <w:pStyle w:val="NoSpacing"/>
          </w:pPr>
          <w:r>
            <w:rPr>
              <w:noProof/>
              <w:lang w:eastAsia="en-GB"/>
            </w:rPr>
            <w:drawing>
              <wp:anchor distT="0" distB="0" distL="114300" distR="114300" simplePos="0" relativeHeight="251655168" behindDoc="0" locked="0" layoutInCell="1" allowOverlap="1" wp14:anchorId="56503F3B" wp14:editId="2D7FA713">
                <wp:simplePos x="0" y="0"/>
                <wp:positionH relativeFrom="page">
                  <wp:posOffset>6353175</wp:posOffset>
                </wp:positionH>
                <wp:positionV relativeFrom="page">
                  <wp:posOffset>371475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14:paraId="0E27B00A" w14:textId="46B44825" w:rsidR="00CB479C" w:rsidRDefault="00A23722">
          <w:r w:rsidRPr="00A23722">
            <w:rPr>
              <w:rFonts w:eastAsia="Times New Roman" w:cs="Arial"/>
              <w:noProof/>
              <w:snapToGrid w:val="0"/>
              <w:szCs w:val="24"/>
              <w:lang w:eastAsia="en-GB"/>
            </w:rPr>
            <mc:AlternateContent>
              <mc:Choice Requires="wps">
                <w:drawing>
                  <wp:anchor distT="0" distB="0" distL="114300" distR="114300" simplePos="0" relativeHeight="251658240" behindDoc="0" locked="0" layoutInCell="1" allowOverlap="1" wp14:anchorId="23253092" wp14:editId="0230A10C">
                    <wp:simplePos x="0" y="0"/>
                    <wp:positionH relativeFrom="column">
                      <wp:posOffset>0</wp:posOffset>
                    </wp:positionH>
                    <wp:positionV relativeFrom="paragraph">
                      <wp:posOffset>-635</wp:posOffset>
                    </wp:positionV>
                    <wp:extent cx="3025140" cy="2152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2152650"/>
                            </a:xfrm>
                            <a:prstGeom prst="rect">
                              <a:avLst/>
                            </a:prstGeom>
                            <a:noFill/>
                            <a:ln w="9525">
                              <a:noFill/>
                              <a:miter lim="800000"/>
                              <a:headEnd/>
                              <a:tailEnd/>
                            </a:ln>
                          </wps:spPr>
                          <wps:txbx>
                            <w:txbxContent>
                              <w:p w14:paraId="4C1602E2" w14:textId="77777777" w:rsidR="00A23722" w:rsidRDefault="00A23722" w:rsidP="00A23722">
                                <w:pPr>
                                  <w:rPr>
                                    <w:rFonts w:cs="Arial"/>
                                    <w:spacing w:val="-3"/>
                                    <w:szCs w:val="24"/>
                                    <w:lang w:val="en-US"/>
                                  </w:rPr>
                                </w:pPr>
                                <w:r w:rsidRPr="00FB688B">
                                  <w:rPr>
                                    <w:rFonts w:cs="Arial"/>
                                    <w:spacing w:val="-3"/>
                                    <w:szCs w:val="24"/>
                                    <w:lang w:val="en-US"/>
                                  </w:rPr>
                                  <w:t xml:space="preserve">To: </w:t>
                                </w:r>
                              </w:p>
                              <w:p w14:paraId="0379874D" w14:textId="77777777" w:rsidR="00A23722" w:rsidRPr="00FB688B" w:rsidRDefault="00A23722" w:rsidP="00A23722">
                                <w:pPr>
                                  <w:rPr>
                                    <w:rFonts w:cs="Arial"/>
                                    <w:spacing w:val="-3"/>
                                    <w:szCs w:val="24"/>
                                    <w:lang w:val="en-US"/>
                                  </w:rPr>
                                </w:pPr>
                                <w:r w:rsidRPr="00FB688B">
                                  <w:rPr>
                                    <w:rFonts w:cs="Arial"/>
                                    <w:spacing w:val="-3"/>
                                    <w:szCs w:val="24"/>
                                    <w:lang w:val="en-US"/>
                                  </w:rPr>
                                  <w:t>Directors of Commissioning</w:t>
                                </w:r>
                              </w:p>
                              <w:p w14:paraId="6848375D" w14:textId="77777777" w:rsidR="00A23722" w:rsidRDefault="00A23722" w:rsidP="00A23722">
                                <w:pPr>
                                  <w:rPr>
                                    <w:rFonts w:cs="Arial"/>
                                    <w:spacing w:val="-3"/>
                                    <w:szCs w:val="24"/>
                                    <w:lang w:val="en-US"/>
                                  </w:rPr>
                                </w:pPr>
                                <w:r w:rsidRPr="00FB688B">
                                  <w:rPr>
                                    <w:rFonts w:cs="Arial"/>
                                    <w:spacing w:val="-3"/>
                                    <w:szCs w:val="24"/>
                                    <w:lang w:val="en-US"/>
                                  </w:rPr>
                                  <w:t>Regional Heads of Primary Care Heads of Primary Care</w:t>
                                </w:r>
                              </w:p>
                              <w:p w14:paraId="3580D2F0" w14:textId="74985889" w:rsidR="00A23722" w:rsidRDefault="00A23722" w:rsidP="00A23722">
                                <w:pPr>
                                  <w:rPr>
                                    <w:rFonts w:cs="Arial"/>
                                    <w:spacing w:val="-3"/>
                                    <w:szCs w:val="24"/>
                                    <w:lang w:val="en-US"/>
                                  </w:rPr>
                                </w:pPr>
                                <w:r w:rsidRPr="00F80D8A">
                                  <w:rPr>
                                    <w:rFonts w:cs="Arial"/>
                                    <w:spacing w:val="-3"/>
                                    <w:szCs w:val="24"/>
                                    <w:lang w:val="en-US"/>
                                  </w:rPr>
                                  <w:t>CCG Clinical Leads and Accountable Officers</w:t>
                                </w:r>
                              </w:p>
                              <w:p w14:paraId="13898645" w14:textId="1DF0BA58" w:rsidR="00A23722" w:rsidRDefault="00A23722" w:rsidP="00A23722">
                                <w:pPr>
                                  <w:rPr>
                                    <w:rFonts w:cs="Arial"/>
                                    <w:spacing w:val="-3"/>
                                    <w:szCs w:val="24"/>
                                    <w:lang w:val="en-US"/>
                                  </w:rPr>
                                </w:pPr>
                              </w:p>
                              <w:p w14:paraId="242CA6FE" w14:textId="77777777" w:rsidR="00A23722" w:rsidRPr="00A23722" w:rsidRDefault="00A23722" w:rsidP="00A23722">
                                <w:pPr>
                                  <w:widowControl w:val="0"/>
                                  <w:spacing w:after="0" w:line="240" w:lineRule="auto"/>
                                  <w:rPr>
                                    <w:rFonts w:eastAsia="Times New Roman" w:cs="Arial"/>
                                    <w:b/>
                                    <w:snapToGrid w:val="0"/>
                                    <w:spacing w:val="-3"/>
                                    <w:szCs w:val="24"/>
                                    <w:lang w:val="en-US"/>
                                  </w:rPr>
                                </w:pPr>
                                <w:r w:rsidRPr="00A23722">
                                  <w:rPr>
                                    <w:rFonts w:eastAsia="Times New Roman" w:cs="Arial"/>
                                    <w:b/>
                                    <w:snapToGrid w:val="0"/>
                                    <w:spacing w:val="-3"/>
                                    <w:szCs w:val="24"/>
                                    <w:lang w:val="en-US"/>
                                  </w:rPr>
                                  <w:t>Publishing Approval Number: 001032</w:t>
                                </w:r>
                              </w:p>
                              <w:p w14:paraId="37297B11" w14:textId="77777777" w:rsidR="00A23722" w:rsidRPr="00FB688B" w:rsidRDefault="00A23722" w:rsidP="00A23722">
                                <w:pPr>
                                  <w:rPr>
                                    <w:rFonts w:cs="Arial"/>
                                    <w:spacing w:val="-3"/>
                                    <w:szCs w:val="24"/>
                                    <w:lang w:val="en-US"/>
                                  </w:rPr>
                                </w:pPr>
                              </w:p>
                              <w:p w14:paraId="2A290719" w14:textId="77777777" w:rsidR="00A23722" w:rsidRDefault="00A23722" w:rsidP="00A23722">
                                <w:pPr>
                                  <w:rPr>
                                    <w:rFonts w:cs="Arial"/>
                                    <w:spacing w:val="-3"/>
                                    <w:szCs w:val="24"/>
                                    <w:lang w:val="en-US"/>
                                  </w:rPr>
                                </w:pPr>
                              </w:p>
                              <w:p w14:paraId="03020F9F" w14:textId="77777777" w:rsidR="00A23722" w:rsidRDefault="00A23722" w:rsidP="00A23722">
                                <w:pPr>
                                  <w:rPr>
                                    <w:rFonts w:cs="Arial"/>
                                    <w:spacing w:val="-3"/>
                                    <w:szCs w:val="24"/>
                                    <w:lang w:val="en-US"/>
                                  </w:rPr>
                                </w:pPr>
                              </w:p>
                              <w:p w14:paraId="011DE975" w14:textId="77777777" w:rsidR="00A23722" w:rsidRDefault="00A23722" w:rsidP="00A23722">
                                <w:pPr>
                                  <w:rPr>
                                    <w:rFonts w:cs="Arial"/>
                                    <w:b/>
                                    <w:spacing w:val="-3"/>
                                    <w:szCs w:val="24"/>
                                    <w:lang w:val="en-US"/>
                                  </w:rPr>
                                </w:pPr>
                              </w:p>
                              <w:p w14:paraId="7391E4CD" w14:textId="77777777" w:rsidR="00A23722" w:rsidRDefault="00A23722" w:rsidP="00A23722">
                                <w:pPr>
                                  <w:rPr>
                                    <w:rFonts w:cs="Arial"/>
                                    <w:b/>
                                    <w:spacing w:val="-3"/>
                                    <w:szCs w:val="24"/>
                                    <w:lang w:val="en-US"/>
                                  </w:rPr>
                                </w:pPr>
                              </w:p>
                              <w:p w14:paraId="3F037F42" w14:textId="77777777" w:rsidR="00A23722" w:rsidRDefault="00A23722" w:rsidP="00A23722">
                                <w:pPr>
                                  <w:rPr>
                                    <w:rFonts w:cs="Arial"/>
                                    <w:b/>
                                    <w:spacing w:val="-3"/>
                                    <w:szCs w:val="24"/>
                                    <w:lang w:val="en-US"/>
                                  </w:rPr>
                                </w:pPr>
                                <w:r>
                                  <w:rPr>
                                    <w:rFonts w:cs="Arial"/>
                                    <w:b/>
                                    <w:spacing w:val="-3"/>
                                    <w:szCs w:val="24"/>
                                    <w:lang w:val="en-US"/>
                                  </w:rPr>
                                  <w:t>Publishing Approval Number: 001032</w:t>
                                </w:r>
                              </w:p>
                              <w:p w14:paraId="0435D847" w14:textId="77777777" w:rsidR="00A23722" w:rsidRPr="00D35C00" w:rsidRDefault="00A23722" w:rsidP="00A23722">
                                <w:pPr>
                                  <w:rPr>
                                    <w:rFonts w:cs="Arial"/>
                                    <w:spacing w:val="-3"/>
                                    <w:szCs w:val="24"/>
                                    <w:lang w:val="en-US"/>
                                  </w:rPr>
                                </w:pPr>
                              </w:p>
                              <w:p w14:paraId="20B6D258" w14:textId="77777777" w:rsidR="00A23722" w:rsidRPr="00D97263" w:rsidRDefault="00A23722" w:rsidP="00A23722">
                                <w:pPr>
                                  <w:pStyle w:val="NoSpacing"/>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53092" id="_x0000_t202" coordsize="21600,21600" o:spt="202" path="m,l,21600r21600,l21600,xe">
                    <v:stroke joinstyle="miter"/>
                    <v:path gradientshapeok="t" o:connecttype="rect"/>
                  </v:shapetype>
                  <v:shape id="Text Box 2" o:spid="_x0000_s1026" type="#_x0000_t202" style="position:absolute;margin-left:0;margin-top:-.05pt;width:238.2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" filled="f" stroked="f">
                    <v:textbox>
                      <w:txbxContent>
                        <w:p w14:paraId="4C1602E2" w14:textId="77777777" w:rsidR="00A23722" w:rsidRDefault="00A23722" w:rsidP="00A23722">
                          <w:pPr>
                            <w:rPr>
                              <w:rFonts w:cs="Arial"/>
                              <w:spacing w:val="-3"/>
                              <w:szCs w:val="24"/>
                              <w:lang w:val="en-US"/>
                            </w:rPr>
                          </w:pPr>
                          <w:r w:rsidRPr="00FB688B">
                            <w:rPr>
                              <w:rFonts w:cs="Arial"/>
                              <w:spacing w:val="-3"/>
                              <w:szCs w:val="24"/>
                              <w:lang w:val="en-US"/>
                            </w:rPr>
                            <w:t xml:space="preserve">To: </w:t>
                          </w:r>
                        </w:p>
                        <w:p w14:paraId="0379874D" w14:textId="77777777" w:rsidR="00A23722" w:rsidRPr="00FB688B" w:rsidRDefault="00A23722" w:rsidP="00A23722">
                          <w:pPr>
                            <w:rPr>
                              <w:rFonts w:cs="Arial"/>
                              <w:spacing w:val="-3"/>
                              <w:szCs w:val="24"/>
                              <w:lang w:val="en-US"/>
                            </w:rPr>
                          </w:pPr>
                          <w:r w:rsidRPr="00FB688B">
                            <w:rPr>
                              <w:rFonts w:cs="Arial"/>
                              <w:spacing w:val="-3"/>
                              <w:szCs w:val="24"/>
                              <w:lang w:val="en-US"/>
                            </w:rPr>
                            <w:t>Directors of Commissioning</w:t>
                          </w:r>
                        </w:p>
                        <w:p w14:paraId="6848375D" w14:textId="77777777" w:rsidR="00A23722" w:rsidRDefault="00A23722" w:rsidP="00A23722">
                          <w:pPr>
                            <w:rPr>
                              <w:rFonts w:cs="Arial"/>
                              <w:spacing w:val="-3"/>
                              <w:szCs w:val="24"/>
                              <w:lang w:val="en-US"/>
                            </w:rPr>
                          </w:pPr>
                          <w:r w:rsidRPr="00FB688B">
                            <w:rPr>
                              <w:rFonts w:cs="Arial"/>
                              <w:spacing w:val="-3"/>
                              <w:szCs w:val="24"/>
                              <w:lang w:val="en-US"/>
                            </w:rPr>
                            <w:t>Regional Heads of Primary Care Heads of Primary Care</w:t>
                          </w:r>
                        </w:p>
                        <w:p w14:paraId="3580D2F0" w14:textId="74985889" w:rsidR="00A23722" w:rsidRDefault="00A23722" w:rsidP="00A23722">
                          <w:pPr>
                            <w:rPr>
                              <w:rFonts w:cs="Arial"/>
                              <w:spacing w:val="-3"/>
                              <w:szCs w:val="24"/>
                              <w:lang w:val="en-US"/>
                            </w:rPr>
                          </w:pPr>
                          <w:r w:rsidRPr="00F80D8A">
                            <w:rPr>
                              <w:rFonts w:cs="Arial"/>
                              <w:spacing w:val="-3"/>
                              <w:szCs w:val="24"/>
                              <w:lang w:val="en-US"/>
                            </w:rPr>
                            <w:t>CCG Clinical Leads and Accountable Officers</w:t>
                          </w:r>
                        </w:p>
                        <w:p w14:paraId="13898645" w14:textId="1DF0BA58" w:rsidR="00A23722" w:rsidRDefault="00A23722" w:rsidP="00A23722">
                          <w:pPr>
                            <w:rPr>
                              <w:rFonts w:cs="Arial"/>
                              <w:spacing w:val="-3"/>
                              <w:szCs w:val="24"/>
                              <w:lang w:val="en-US"/>
                            </w:rPr>
                          </w:pPr>
                        </w:p>
                        <w:p w14:paraId="242CA6FE" w14:textId="77777777" w:rsidR="00A23722" w:rsidRPr="00A23722" w:rsidRDefault="00A23722" w:rsidP="00A23722">
                          <w:pPr>
                            <w:widowControl w:val="0"/>
                            <w:spacing w:after="0" w:line="240" w:lineRule="auto"/>
                            <w:rPr>
                              <w:rFonts w:eastAsia="Times New Roman" w:cs="Arial"/>
                              <w:b/>
                              <w:snapToGrid w:val="0"/>
                              <w:spacing w:val="-3"/>
                              <w:szCs w:val="24"/>
                              <w:lang w:val="en-US"/>
                            </w:rPr>
                          </w:pPr>
                          <w:r w:rsidRPr="00A23722">
                            <w:rPr>
                              <w:rFonts w:eastAsia="Times New Roman" w:cs="Arial"/>
                              <w:b/>
                              <w:snapToGrid w:val="0"/>
                              <w:spacing w:val="-3"/>
                              <w:szCs w:val="24"/>
                              <w:lang w:val="en-US"/>
                            </w:rPr>
                            <w:t>Publishing Approval Number: 001032</w:t>
                          </w:r>
                        </w:p>
                        <w:p w14:paraId="37297B11" w14:textId="77777777" w:rsidR="00A23722" w:rsidRPr="00FB688B" w:rsidRDefault="00A23722" w:rsidP="00A23722">
                          <w:pPr>
                            <w:rPr>
                              <w:rFonts w:cs="Arial"/>
                              <w:spacing w:val="-3"/>
                              <w:szCs w:val="24"/>
                              <w:lang w:val="en-US"/>
                            </w:rPr>
                          </w:pPr>
                        </w:p>
                        <w:p w14:paraId="2A290719" w14:textId="77777777" w:rsidR="00A23722" w:rsidRDefault="00A23722" w:rsidP="00A23722">
                          <w:pPr>
                            <w:rPr>
                              <w:rFonts w:cs="Arial"/>
                              <w:spacing w:val="-3"/>
                              <w:szCs w:val="24"/>
                              <w:lang w:val="en-US"/>
                            </w:rPr>
                          </w:pPr>
                        </w:p>
                        <w:p w14:paraId="03020F9F" w14:textId="77777777" w:rsidR="00A23722" w:rsidRDefault="00A23722" w:rsidP="00A23722">
                          <w:pPr>
                            <w:rPr>
                              <w:rFonts w:cs="Arial"/>
                              <w:spacing w:val="-3"/>
                              <w:szCs w:val="24"/>
                              <w:lang w:val="en-US"/>
                            </w:rPr>
                          </w:pPr>
                        </w:p>
                        <w:p w14:paraId="011DE975" w14:textId="77777777" w:rsidR="00A23722" w:rsidRDefault="00A23722" w:rsidP="00A23722">
                          <w:pPr>
                            <w:rPr>
                              <w:rFonts w:cs="Arial"/>
                              <w:b/>
                              <w:spacing w:val="-3"/>
                              <w:szCs w:val="24"/>
                              <w:lang w:val="en-US"/>
                            </w:rPr>
                          </w:pPr>
                        </w:p>
                        <w:p w14:paraId="7391E4CD" w14:textId="77777777" w:rsidR="00A23722" w:rsidRDefault="00A23722" w:rsidP="00A23722">
                          <w:pPr>
                            <w:rPr>
                              <w:rFonts w:cs="Arial"/>
                              <w:b/>
                              <w:spacing w:val="-3"/>
                              <w:szCs w:val="24"/>
                              <w:lang w:val="en-US"/>
                            </w:rPr>
                          </w:pPr>
                        </w:p>
                        <w:p w14:paraId="3F037F42" w14:textId="77777777" w:rsidR="00A23722" w:rsidRDefault="00A23722" w:rsidP="00A23722">
                          <w:pPr>
                            <w:rPr>
                              <w:rFonts w:cs="Arial"/>
                              <w:b/>
                              <w:spacing w:val="-3"/>
                              <w:szCs w:val="24"/>
                              <w:lang w:val="en-US"/>
                            </w:rPr>
                          </w:pPr>
                          <w:r>
                            <w:rPr>
                              <w:rFonts w:cs="Arial"/>
                              <w:b/>
                              <w:spacing w:val="-3"/>
                              <w:szCs w:val="24"/>
                              <w:lang w:val="en-US"/>
                            </w:rPr>
                            <w:t>Publishing Approval Number: 001032</w:t>
                          </w:r>
                        </w:p>
                        <w:p w14:paraId="0435D847" w14:textId="77777777" w:rsidR="00A23722" w:rsidRPr="00D35C00" w:rsidRDefault="00A23722" w:rsidP="00A23722">
                          <w:pPr>
                            <w:rPr>
                              <w:rFonts w:cs="Arial"/>
                              <w:spacing w:val="-3"/>
                              <w:szCs w:val="24"/>
                              <w:lang w:val="en-US"/>
                            </w:rPr>
                          </w:pPr>
                        </w:p>
                        <w:p w14:paraId="20B6D258" w14:textId="77777777" w:rsidR="00A23722" w:rsidRPr="00D97263" w:rsidRDefault="00A23722" w:rsidP="00A23722">
                          <w:pPr>
                            <w:pStyle w:val="NoSpacing"/>
                            <w:rPr>
                              <w:rFonts w:cs="Arial"/>
                              <w:szCs w:val="24"/>
                            </w:rPr>
                          </w:pPr>
                        </w:p>
                      </w:txbxContent>
                    </v:textbox>
                  </v:shape>
                </w:pict>
              </mc:Fallback>
            </mc:AlternateContent>
          </w:r>
        </w:p>
        <w:p w14:paraId="60061E4C" w14:textId="7836EFA2" w:rsidR="00012418" w:rsidRDefault="00A23722">
          <w:r w:rsidRPr="00A23722">
            <w:rPr>
              <w:rFonts w:eastAsia="Times New Roman" w:cs="Arial"/>
              <w:noProof/>
              <w:snapToGrid w:val="0"/>
              <w:szCs w:val="24"/>
              <w:lang w:eastAsia="en-GB"/>
            </w:rPr>
            <mc:AlternateContent>
              <mc:Choice Requires="wps">
                <w:drawing>
                  <wp:anchor distT="0" distB="0" distL="114300" distR="114300" simplePos="0" relativeHeight="251661312" behindDoc="0" locked="0" layoutInCell="1" allowOverlap="1" wp14:anchorId="30293127" wp14:editId="51C42D08">
                    <wp:simplePos x="0" y="0"/>
                    <wp:positionH relativeFrom="column">
                      <wp:posOffset>3741420</wp:posOffset>
                    </wp:positionH>
                    <wp:positionV relativeFrom="paragraph">
                      <wp:posOffset>5715</wp:posOffset>
                    </wp:positionV>
                    <wp:extent cx="2625725" cy="2466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2466975"/>
                            </a:xfrm>
                            <a:prstGeom prst="rect">
                              <a:avLst/>
                            </a:prstGeom>
                            <a:noFill/>
                            <a:ln w="9525">
                              <a:noFill/>
                              <a:miter lim="800000"/>
                              <a:headEnd/>
                              <a:tailEnd/>
                            </a:ln>
                          </wps:spPr>
                          <wps:txbx>
                            <w:txbxContent>
                              <w:p w14:paraId="4333E5CD" w14:textId="77777777" w:rsidR="00A23722" w:rsidRPr="00D35C00" w:rsidRDefault="00A23722" w:rsidP="00A23722">
                                <w:pPr>
                                  <w:jc w:val="both"/>
                                  <w:rPr>
                                    <w:rFonts w:cs="Arial"/>
                                    <w:szCs w:val="24"/>
                                  </w:rPr>
                                </w:pPr>
                                <w:r>
                                  <w:rPr>
                                    <w:rFonts w:cs="Arial"/>
                                    <w:szCs w:val="24"/>
                                  </w:rPr>
                                  <w:t>Strategy and Innovation Directorate</w:t>
                                </w:r>
                              </w:p>
                              <w:p w14:paraId="3903CD35" w14:textId="77777777" w:rsidR="00A23722" w:rsidRPr="00D35C00" w:rsidRDefault="00A23722" w:rsidP="00A23722">
                                <w:pPr>
                                  <w:jc w:val="both"/>
                                  <w:rPr>
                                    <w:rFonts w:cs="Arial"/>
                                    <w:szCs w:val="24"/>
                                  </w:rPr>
                                </w:pPr>
                                <w:r>
                                  <w:rPr>
                                    <w:rFonts w:cs="Arial"/>
                                    <w:szCs w:val="24"/>
                                  </w:rPr>
                                  <w:t>NHS England</w:t>
                                </w:r>
                              </w:p>
                              <w:p w14:paraId="61E42BAA" w14:textId="77777777" w:rsidR="00A23722" w:rsidRPr="00D35C00" w:rsidRDefault="00A23722" w:rsidP="00A23722">
                                <w:pPr>
                                  <w:jc w:val="both"/>
                                  <w:rPr>
                                    <w:rFonts w:cs="Arial"/>
                                    <w:szCs w:val="24"/>
                                  </w:rPr>
                                </w:pPr>
                                <w:r>
                                  <w:rPr>
                                    <w:rFonts w:cs="Arial"/>
                                    <w:szCs w:val="24"/>
                                  </w:rPr>
                                  <w:t>Skipton House</w:t>
                                </w:r>
                              </w:p>
                              <w:p w14:paraId="096C088E" w14:textId="77777777" w:rsidR="00A23722" w:rsidRPr="00D35C00" w:rsidRDefault="00A23722" w:rsidP="00A23722">
                                <w:pPr>
                                  <w:jc w:val="both"/>
                                  <w:rPr>
                                    <w:rFonts w:cs="Arial"/>
                                    <w:szCs w:val="24"/>
                                  </w:rPr>
                                </w:pPr>
                                <w:r>
                                  <w:rPr>
                                    <w:rFonts w:cs="Arial"/>
                                    <w:szCs w:val="24"/>
                                  </w:rPr>
                                  <w:t>London Road</w:t>
                                </w:r>
                              </w:p>
                              <w:p w14:paraId="1090E35D" w14:textId="77777777" w:rsidR="00A23722" w:rsidRDefault="00A23722" w:rsidP="00A23722">
                                <w:pPr>
                                  <w:jc w:val="both"/>
                                  <w:rPr>
                                    <w:rFonts w:cs="Arial"/>
                                    <w:szCs w:val="24"/>
                                  </w:rPr>
                                </w:pPr>
                                <w:r>
                                  <w:rPr>
                                    <w:rFonts w:cs="Arial"/>
                                    <w:szCs w:val="24"/>
                                  </w:rPr>
                                  <w:t>London</w:t>
                                </w:r>
                              </w:p>
                              <w:p w14:paraId="216F2DF8" w14:textId="77777777" w:rsidR="00A23722" w:rsidRPr="00D35C00" w:rsidRDefault="00A23722" w:rsidP="00A23722">
                                <w:pPr>
                                  <w:jc w:val="both"/>
                                  <w:rPr>
                                    <w:rFonts w:cs="Arial"/>
                                    <w:szCs w:val="24"/>
                                  </w:rPr>
                                </w:pPr>
                                <w:r>
                                  <w:rPr>
                                    <w:rFonts w:cs="Arial"/>
                                    <w:szCs w:val="24"/>
                                  </w:rPr>
                                  <w:t>SE1 6LH</w:t>
                                </w:r>
                              </w:p>
                              <w:p w14:paraId="41434C00" w14:textId="77777777" w:rsidR="00A23722" w:rsidRDefault="00A23722" w:rsidP="00A23722">
                                <w:pPr>
                                  <w:pStyle w:val="NoSpacing"/>
                                  <w:jc w:val="both"/>
                                  <w:rPr>
                                    <w:rFonts w:cs="Arial"/>
                                    <w:szCs w:val="24"/>
                                  </w:rPr>
                                </w:pPr>
                              </w:p>
                              <w:p w14:paraId="4DC76BB9" w14:textId="77777777" w:rsidR="00A23722" w:rsidRDefault="00A23722" w:rsidP="00A23722">
                                <w:pPr>
                                  <w:pStyle w:val="NoSpacing"/>
                                  <w:jc w:val="both"/>
                                  <w:rPr>
                                    <w:rFonts w:cs="Arial"/>
                                    <w:szCs w:val="24"/>
                                  </w:rPr>
                                </w:pPr>
                              </w:p>
                              <w:p w14:paraId="767C7C3C" w14:textId="77777777" w:rsidR="00A23722" w:rsidRPr="00D97263" w:rsidRDefault="00A23722" w:rsidP="00A23722">
                                <w:pPr>
                                  <w:pStyle w:val="NoSpacing"/>
                                  <w:jc w:val="both"/>
                                  <w:rPr>
                                    <w:rFonts w:cs="Arial"/>
                                    <w:szCs w:val="24"/>
                                  </w:rPr>
                                </w:pPr>
                                <w:r>
                                  <w:rPr>
                                    <w:rFonts w:cs="Arial"/>
                                    <w:szCs w:val="24"/>
                                  </w:rPr>
                                  <w:t>6 September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93127" id="_x0000_s1027" type="#_x0000_t202" style="position:absolute;margin-left:294.6pt;margin-top:.45pt;width:206.75pt;height:1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" filled="f" stroked="f">
                    <v:textbox>
                      <w:txbxContent>
                        <w:p w14:paraId="4333E5CD" w14:textId="77777777" w:rsidR="00A23722" w:rsidRPr="00D35C00" w:rsidRDefault="00A23722" w:rsidP="00A23722">
                          <w:pPr>
                            <w:jc w:val="both"/>
                            <w:rPr>
                              <w:rFonts w:cs="Arial"/>
                              <w:szCs w:val="24"/>
                            </w:rPr>
                          </w:pPr>
                          <w:r>
                            <w:rPr>
                              <w:rFonts w:cs="Arial"/>
                              <w:szCs w:val="24"/>
                            </w:rPr>
                            <w:t>Strategy and Innovation Directorate</w:t>
                          </w:r>
                        </w:p>
                        <w:p w14:paraId="3903CD35" w14:textId="77777777" w:rsidR="00A23722" w:rsidRPr="00D35C00" w:rsidRDefault="00A23722" w:rsidP="00A23722">
                          <w:pPr>
                            <w:jc w:val="both"/>
                            <w:rPr>
                              <w:rFonts w:cs="Arial"/>
                              <w:szCs w:val="24"/>
                            </w:rPr>
                          </w:pPr>
                          <w:r>
                            <w:rPr>
                              <w:rFonts w:cs="Arial"/>
                              <w:szCs w:val="24"/>
                            </w:rPr>
                            <w:t>NHS England</w:t>
                          </w:r>
                        </w:p>
                        <w:p w14:paraId="61E42BAA" w14:textId="77777777" w:rsidR="00A23722" w:rsidRPr="00D35C00" w:rsidRDefault="00A23722" w:rsidP="00A23722">
                          <w:pPr>
                            <w:jc w:val="both"/>
                            <w:rPr>
                              <w:rFonts w:cs="Arial"/>
                              <w:szCs w:val="24"/>
                            </w:rPr>
                          </w:pPr>
                          <w:r>
                            <w:rPr>
                              <w:rFonts w:cs="Arial"/>
                              <w:szCs w:val="24"/>
                            </w:rPr>
                            <w:t>Skipton House</w:t>
                          </w:r>
                        </w:p>
                        <w:p w14:paraId="096C088E" w14:textId="77777777" w:rsidR="00A23722" w:rsidRPr="00D35C00" w:rsidRDefault="00A23722" w:rsidP="00A23722">
                          <w:pPr>
                            <w:jc w:val="both"/>
                            <w:rPr>
                              <w:rFonts w:cs="Arial"/>
                              <w:szCs w:val="24"/>
                            </w:rPr>
                          </w:pPr>
                          <w:r>
                            <w:rPr>
                              <w:rFonts w:cs="Arial"/>
                              <w:szCs w:val="24"/>
                            </w:rPr>
                            <w:t>London Road</w:t>
                          </w:r>
                        </w:p>
                        <w:p w14:paraId="1090E35D" w14:textId="77777777" w:rsidR="00A23722" w:rsidRDefault="00A23722" w:rsidP="00A23722">
                          <w:pPr>
                            <w:jc w:val="both"/>
                            <w:rPr>
                              <w:rFonts w:cs="Arial"/>
                              <w:szCs w:val="24"/>
                            </w:rPr>
                          </w:pPr>
                          <w:r>
                            <w:rPr>
                              <w:rFonts w:cs="Arial"/>
                              <w:szCs w:val="24"/>
                            </w:rPr>
                            <w:t>London</w:t>
                          </w:r>
                        </w:p>
                        <w:p w14:paraId="216F2DF8" w14:textId="77777777" w:rsidR="00A23722" w:rsidRPr="00D35C00" w:rsidRDefault="00A23722" w:rsidP="00A23722">
                          <w:pPr>
                            <w:jc w:val="both"/>
                            <w:rPr>
                              <w:rFonts w:cs="Arial"/>
                              <w:szCs w:val="24"/>
                            </w:rPr>
                          </w:pPr>
                          <w:r>
                            <w:rPr>
                              <w:rFonts w:cs="Arial"/>
                              <w:szCs w:val="24"/>
                            </w:rPr>
                            <w:t>SE1 6LH</w:t>
                          </w:r>
                        </w:p>
                        <w:p w14:paraId="41434C00" w14:textId="77777777" w:rsidR="00A23722" w:rsidRDefault="00A23722" w:rsidP="00A23722">
                          <w:pPr>
                            <w:pStyle w:val="NoSpacing"/>
                            <w:jc w:val="both"/>
                            <w:rPr>
                              <w:rFonts w:cs="Arial"/>
                              <w:szCs w:val="24"/>
                            </w:rPr>
                          </w:pPr>
                        </w:p>
                        <w:p w14:paraId="4DC76BB9" w14:textId="77777777" w:rsidR="00A23722" w:rsidRDefault="00A23722" w:rsidP="00A23722">
                          <w:pPr>
                            <w:pStyle w:val="NoSpacing"/>
                            <w:jc w:val="both"/>
                            <w:rPr>
                              <w:rFonts w:cs="Arial"/>
                              <w:szCs w:val="24"/>
                            </w:rPr>
                          </w:pPr>
                        </w:p>
                        <w:p w14:paraId="767C7C3C" w14:textId="77777777" w:rsidR="00A23722" w:rsidRPr="00D97263" w:rsidRDefault="00A23722" w:rsidP="00A23722">
                          <w:pPr>
                            <w:pStyle w:val="NoSpacing"/>
                            <w:jc w:val="both"/>
                            <w:rPr>
                              <w:rFonts w:cs="Arial"/>
                              <w:szCs w:val="24"/>
                            </w:rPr>
                          </w:pPr>
                          <w:r>
                            <w:rPr>
                              <w:rFonts w:cs="Arial"/>
                              <w:szCs w:val="24"/>
                            </w:rPr>
                            <w:t>6 September 2019</w:t>
                          </w:r>
                        </w:p>
                      </w:txbxContent>
                    </v:textbox>
                  </v:shape>
                </w:pict>
              </mc:Fallback>
            </mc:AlternateContent>
          </w:r>
        </w:p>
      </w:sdtContent>
    </w:sdt>
    <w:p w14:paraId="44EAFD9C" w14:textId="77777777" w:rsidR="0021299E" w:rsidRDefault="0021299E"/>
    <w:p w14:paraId="4B94D5A5" w14:textId="77777777" w:rsidR="00CB479C" w:rsidRDefault="00CB479C"/>
    <w:p w14:paraId="3DEEC669" w14:textId="77777777" w:rsidR="00CB479C" w:rsidRDefault="00CB479C"/>
    <w:p w14:paraId="049F31CB" w14:textId="6E9410E9" w:rsidR="00CB479C" w:rsidRDefault="00CB479C" w:rsidP="00CB479C">
      <w:pPr>
        <w:rPr>
          <w:rFonts w:cs="Arial"/>
          <w:szCs w:val="24"/>
        </w:rPr>
      </w:pPr>
    </w:p>
    <w:p w14:paraId="4159B826" w14:textId="29FA6D3C" w:rsidR="00A23722" w:rsidRDefault="00A23722" w:rsidP="00CB479C">
      <w:pPr>
        <w:rPr>
          <w:rFonts w:cs="Arial"/>
          <w:szCs w:val="24"/>
        </w:rPr>
      </w:pPr>
    </w:p>
    <w:p w14:paraId="073D7210" w14:textId="5B4D8C6E" w:rsidR="00A23722" w:rsidRDefault="00A23722" w:rsidP="00CB479C">
      <w:pPr>
        <w:rPr>
          <w:rFonts w:cs="Arial"/>
          <w:szCs w:val="24"/>
        </w:rPr>
      </w:pPr>
    </w:p>
    <w:p w14:paraId="49112FC7" w14:textId="3362BAA3" w:rsidR="00A23722" w:rsidRDefault="00A23722" w:rsidP="00CB479C">
      <w:pPr>
        <w:rPr>
          <w:rFonts w:cs="Arial"/>
          <w:szCs w:val="24"/>
        </w:rPr>
      </w:pPr>
    </w:p>
    <w:p w14:paraId="6D9ED4C8" w14:textId="0155E722" w:rsidR="00A23722" w:rsidRDefault="00A23722" w:rsidP="00CB479C">
      <w:pPr>
        <w:rPr>
          <w:rFonts w:cs="Arial"/>
          <w:szCs w:val="24"/>
        </w:rPr>
      </w:pPr>
    </w:p>
    <w:p w14:paraId="08131427" w14:textId="39B2E90B" w:rsidR="00A23722" w:rsidRPr="00A23722" w:rsidRDefault="00A23722" w:rsidP="00A23722">
      <w:pPr>
        <w:spacing w:after="0" w:line="276" w:lineRule="auto"/>
        <w:rPr>
          <w:rFonts w:eastAsia="Calibri" w:cs="Arial"/>
          <w:szCs w:val="24"/>
        </w:rPr>
      </w:pPr>
      <w:r w:rsidRPr="00A23722">
        <w:rPr>
          <w:rFonts w:eastAsia="Calibri" w:cs="Arial"/>
          <w:szCs w:val="24"/>
        </w:rPr>
        <w:t>Dear Colleagues</w:t>
      </w:r>
    </w:p>
    <w:p w14:paraId="5EF8C18E" w14:textId="77777777" w:rsidR="00A23722" w:rsidRPr="00A23722" w:rsidRDefault="00A23722" w:rsidP="00A23722">
      <w:pPr>
        <w:spacing w:after="0" w:line="276" w:lineRule="auto"/>
        <w:rPr>
          <w:rFonts w:eastAsia="Calibri" w:cs="Arial"/>
          <w:szCs w:val="24"/>
        </w:rPr>
      </w:pPr>
    </w:p>
    <w:p w14:paraId="082656EE" w14:textId="77777777" w:rsidR="00A23722" w:rsidRPr="00A23722" w:rsidRDefault="00A23722" w:rsidP="00A23722">
      <w:pPr>
        <w:spacing w:after="0" w:line="276" w:lineRule="auto"/>
        <w:rPr>
          <w:rFonts w:eastAsia="Calibri" w:cs="Arial"/>
          <w:b/>
          <w:szCs w:val="24"/>
        </w:rPr>
      </w:pPr>
      <w:r w:rsidRPr="00A23722">
        <w:rPr>
          <w:rFonts w:eastAsia="Calibri" w:cs="Arial"/>
          <w:b/>
          <w:szCs w:val="24"/>
        </w:rPr>
        <w:t>PRIMARY CARE NETWORKS: UPDATE TO COMMISSIONERS</w:t>
      </w:r>
    </w:p>
    <w:p w14:paraId="41E1A2FB" w14:textId="77777777" w:rsidR="00A23722" w:rsidRPr="00A23722" w:rsidRDefault="00A23722" w:rsidP="00A23722">
      <w:pPr>
        <w:spacing w:after="0" w:line="276" w:lineRule="auto"/>
        <w:rPr>
          <w:rFonts w:eastAsia="Calibri" w:cs="Arial"/>
          <w:szCs w:val="24"/>
        </w:rPr>
      </w:pPr>
    </w:p>
    <w:p w14:paraId="08364BB5" w14:textId="667B4929" w:rsidR="00A23722" w:rsidRPr="00A23722" w:rsidRDefault="00A23722" w:rsidP="00A23722">
      <w:pPr>
        <w:spacing w:after="0" w:line="276" w:lineRule="auto"/>
        <w:rPr>
          <w:rFonts w:eastAsia="Calibri" w:cs="Arial"/>
          <w:szCs w:val="24"/>
        </w:rPr>
      </w:pPr>
      <w:r w:rsidRPr="00A23722">
        <w:rPr>
          <w:rFonts w:eastAsia="Calibri" w:cs="Arial"/>
          <w:szCs w:val="24"/>
        </w:rPr>
        <w:t>Thank you for all your hard work to get primary care networks established and practices taking part in the Network Contract D</w:t>
      </w:r>
      <w:r>
        <w:rPr>
          <w:rFonts w:eastAsia="Calibri" w:cs="Arial"/>
          <w:szCs w:val="24"/>
        </w:rPr>
        <w:t xml:space="preserve">irected </w:t>
      </w:r>
      <w:r w:rsidRPr="00A23722">
        <w:rPr>
          <w:rFonts w:eastAsia="Calibri" w:cs="Arial"/>
          <w:szCs w:val="24"/>
        </w:rPr>
        <w:t>E</w:t>
      </w:r>
      <w:r>
        <w:rPr>
          <w:rFonts w:eastAsia="Calibri" w:cs="Arial"/>
          <w:szCs w:val="24"/>
        </w:rPr>
        <w:t xml:space="preserve">nhanced </w:t>
      </w:r>
      <w:r w:rsidRPr="00A23722">
        <w:rPr>
          <w:rFonts w:eastAsia="Calibri" w:cs="Arial"/>
          <w:szCs w:val="24"/>
        </w:rPr>
        <w:t>S</w:t>
      </w:r>
      <w:r>
        <w:rPr>
          <w:rFonts w:eastAsia="Calibri" w:cs="Arial"/>
          <w:szCs w:val="24"/>
        </w:rPr>
        <w:t>ervice (DES)</w:t>
      </w:r>
      <w:r w:rsidRPr="00A23722">
        <w:rPr>
          <w:rFonts w:eastAsia="Calibri" w:cs="Arial"/>
          <w:szCs w:val="24"/>
        </w:rPr>
        <w:t>. The DES has had a very positive reception and almost every practice in the country is taking part. This success owes much to the work and engagement by C</w:t>
      </w:r>
      <w:r w:rsidR="00AD07DF">
        <w:rPr>
          <w:rFonts w:eastAsia="Calibri" w:cs="Arial"/>
          <w:szCs w:val="24"/>
        </w:rPr>
        <w:t xml:space="preserve">linical </w:t>
      </w:r>
      <w:r w:rsidRPr="00A23722">
        <w:rPr>
          <w:rFonts w:eastAsia="Calibri" w:cs="Arial"/>
          <w:szCs w:val="24"/>
        </w:rPr>
        <w:t>C</w:t>
      </w:r>
      <w:r w:rsidR="00AD07DF">
        <w:rPr>
          <w:rFonts w:eastAsia="Calibri" w:cs="Arial"/>
          <w:szCs w:val="24"/>
        </w:rPr>
        <w:t xml:space="preserve">ommissioning </w:t>
      </w:r>
      <w:r w:rsidRPr="00A23722">
        <w:rPr>
          <w:rFonts w:eastAsia="Calibri" w:cs="Arial"/>
          <w:szCs w:val="24"/>
        </w:rPr>
        <w:t>G</w:t>
      </w:r>
      <w:r w:rsidR="00AD07DF">
        <w:rPr>
          <w:rFonts w:eastAsia="Calibri" w:cs="Arial"/>
          <w:szCs w:val="24"/>
        </w:rPr>
        <w:t>roup</w:t>
      </w:r>
      <w:r w:rsidRPr="00A23722">
        <w:rPr>
          <w:rFonts w:eastAsia="Calibri" w:cs="Arial"/>
          <w:szCs w:val="24"/>
        </w:rPr>
        <w:t>s</w:t>
      </w:r>
      <w:r w:rsidR="00AD07DF">
        <w:rPr>
          <w:rFonts w:eastAsia="Calibri" w:cs="Arial"/>
          <w:szCs w:val="24"/>
        </w:rPr>
        <w:t xml:space="preserve"> (CCGs)</w:t>
      </w:r>
      <w:r w:rsidRPr="00A23722">
        <w:rPr>
          <w:rFonts w:eastAsia="Calibri" w:cs="Arial"/>
          <w:szCs w:val="24"/>
        </w:rPr>
        <w:t xml:space="preserve"> and regional teams. This letter provides an update on future developments for the Network Contract DES. </w:t>
      </w:r>
    </w:p>
    <w:p w14:paraId="26030E09" w14:textId="77777777" w:rsidR="00A23722" w:rsidRPr="00A23722" w:rsidRDefault="00A23722" w:rsidP="00A23722">
      <w:pPr>
        <w:spacing w:after="0" w:line="276" w:lineRule="auto"/>
        <w:rPr>
          <w:rFonts w:eastAsia="Calibri" w:cs="Arial"/>
          <w:szCs w:val="24"/>
          <w:u w:val="single"/>
        </w:rPr>
      </w:pPr>
    </w:p>
    <w:p w14:paraId="5E3E3A59" w14:textId="77777777" w:rsidR="00A23722" w:rsidRPr="00A23722" w:rsidRDefault="00A23722" w:rsidP="00A23722">
      <w:pPr>
        <w:spacing w:after="0" w:line="276" w:lineRule="auto"/>
        <w:rPr>
          <w:rFonts w:eastAsia="Calibri" w:cs="Arial"/>
          <w:szCs w:val="24"/>
          <w:u w:val="single"/>
        </w:rPr>
      </w:pPr>
      <w:r w:rsidRPr="00A23722">
        <w:rPr>
          <w:rFonts w:eastAsia="Calibri" w:cs="Arial"/>
          <w:szCs w:val="24"/>
          <w:u w:val="single"/>
        </w:rPr>
        <w:t>Development and introduction of network services</w:t>
      </w:r>
    </w:p>
    <w:p w14:paraId="14514253" w14:textId="77777777" w:rsidR="00A23722" w:rsidRPr="00A23722" w:rsidRDefault="00A23722" w:rsidP="00A23722">
      <w:pPr>
        <w:spacing w:after="0" w:line="276" w:lineRule="auto"/>
        <w:rPr>
          <w:rFonts w:eastAsia="Calibri" w:cs="Arial"/>
          <w:szCs w:val="24"/>
        </w:rPr>
      </w:pPr>
    </w:p>
    <w:p w14:paraId="0C6A2367" w14:textId="01B7E8DA" w:rsidR="00A23722" w:rsidRPr="00A23722" w:rsidRDefault="00A23722" w:rsidP="00A23722">
      <w:pPr>
        <w:spacing w:after="0" w:line="276" w:lineRule="auto"/>
        <w:rPr>
          <w:rFonts w:eastAsia="Calibri" w:cs="Arial"/>
          <w:szCs w:val="24"/>
        </w:rPr>
      </w:pPr>
      <w:r w:rsidRPr="00A23722">
        <w:rPr>
          <w:rFonts w:eastAsia="Calibri" w:cs="Arial"/>
          <w:szCs w:val="24"/>
        </w:rPr>
        <w:t xml:space="preserve">The </w:t>
      </w:r>
      <w:r w:rsidRPr="00A23722">
        <w:rPr>
          <w:rFonts w:eastAsia="Calibri" w:cs="Arial"/>
          <w:i/>
          <w:szCs w:val="24"/>
        </w:rPr>
        <w:t>Investment and Evolution</w:t>
      </w:r>
      <w:r w:rsidRPr="00A23722">
        <w:rPr>
          <w:rFonts w:eastAsia="Calibri" w:cs="Arial"/>
          <w:szCs w:val="24"/>
        </w:rPr>
        <w:t xml:space="preserve"> document and Network Contract DES Guidance stated that, during 2019 and 2020, NHS England and </w:t>
      </w:r>
      <w:r w:rsidR="002D4FC0">
        <w:rPr>
          <w:rFonts w:eastAsia="Calibri" w:cs="Arial"/>
          <w:szCs w:val="24"/>
        </w:rPr>
        <w:t xml:space="preserve">the </w:t>
      </w:r>
      <w:r w:rsidRPr="00A23722">
        <w:rPr>
          <w:rFonts w:eastAsia="Calibri" w:cs="Arial"/>
          <w:szCs w:val="24"/>
        </w:rPr>
        <w:t>G</w:t>
      </w:r>
      <w:r w:rsidR="002D4FC0">
        <w:rPr>
          <w:rFonts w:eastAsia="Calibri" w:cs="Arial"/>
          <w:szCs w:val="24"/>
        </w:rPr>
        <w:t xml:space="preserve">eneral </w:t>
      </w:r>
      <w:r w:rsidRPr="00A23722">
        <w:rPr>
          <w:rFonts w:eastAsia="Calibri" w:cs="Arial"/>
          <w:szCs w:val="24"/>
        </w:rPr>
        <w:t>P</w:t>
      </w:r>
      <w:r w:rsidR="002D4FC0">
        <w:rPr>
          <w:rFonts w:eastAsia="Calibri" w:cs="Arial"/>
          <w:szCs w:val="24"/>
        </w:rPr>
        <w:t xml:space="preserve">ractitioners </w:t>
      </w:r>
      <w:r w:rsidRPr="00A23722">
        <w:rPr>
          <w:rFonts w:eastAsia="Calibri" w:cs="Arial"/>
          <w:szCs w:val="24"/>
        </w:rPr>
        <w:t>C</w:t>
      </w:r>
      <w:r w:rsidR="002D4FC0">
        <w:rPr>
          <w:rFonts w:eastAsia="Calibri" w:cs="Arial"/>
          <w:szCs w:val="24"/>
        </w:rPr>
        <w:t>ommittee (GPC) of the BMA</w:t>
      </w:r>
      <w:r w:rsidRPr="00A23722">
        <w:rPr>
          <w:rFonts w:eastAsia="Calibri" w:cs="Arial"/>
          <w:szCs w:val="24"/>
        </w:rPr>
        <w:t xml:space="preserve"> will develop seven service specifications which will become core requirements within the Network Contract DES. There are five to be included within the 2020/21 Network Contract DES; Structured Medications Review and Optimisation, Enhanced Health in Care Homes, Anticipatory Care, Personalised Care and Supporting Early Cancer Diagnosis. A further two specifications – CVD Diagnosis and Prevention, and Health Inequalities – will be introduced for 2021/22.</w:t>
      </w:r>
    </w:p>
    <w:p w14:paraId="5EDCD133" w14:textId="77777777" w:rsidR="00A23722" w:rsidRPr="00A23722" w:rsidRDefault="00A23722" w:rsidP="00A23722">
      <w:pPr>
        <w:spacing w:after="0" w:line="276" w:lineRule="auto"/>
        <w:rPr>
          <w:rFonts w:eastAsia="Calibri" w:cs="Arial"/>
          <w:szCs w:val="24"/>
        </w:rPr>
      </w:pPr>
    </w:p>
    <w:p w14:paraId="585286DD" w14:textId="01D1C60D" w:rsidR="00A23722" w:rsidRDefault="00A23722" w:rsidP="00A23722">
      <w:pPr>
        <w:spacing w:after="0" w:line="276" w:lineRule="auto"/>
        <w:rPr>
          <w:rFonts w:eastAsia="Calibri" w:cs="Arial"/>
          <w:szCs w:val="24"/>
        </w:rPr>
      </w:pPr>
      <w:r w:rsidRPr="00A23722">
        <w:rPr>
          <w:rFonts w:eastAsia="Calibri" w:cs="Arial"/>
          <w:szCs w:val="24"/>
        </w:rPr>
        <w:t>NHS England is working with relevant stakeholders to develop draft specifications, prior to formal contract discussions with the General Practitioners Committee. We are drawing on a range on inputs, which includes:</w:t>
      </w:r>
    </w:p>
    <w:p w14:paraId="67A7A4D5" w14:textId="256B5D7E" w:rsidR="00A23722" w:rsidRDefault="00A23722" w:rsidP="00A23722">
      <w:pPr>
        <w:spacing w:after="0" w:line="276" w:lineRule="auto"/>
        <w:rPr>
          <w:rFonts w:eastAsia="Calibri" w:cs="Arial"/>
          <w:szCs w:val="24"/>
        </w:rPr>
      </w:pPr>
    </w:p>
    <w:p w14:paraId="22EE7AA6" w14:textId="77777777" w:rsidR="00A23722" w:rsidRPr="00A23722" w:rsidRDefault="00A23722" w:rsidP="00A23722">
      <w:pPr>
        <w:spacing w:after="0" w:line="276" w:lineRule="auto"/>
        <w:rPr>
          <w:rFonts w:eastAsia="Calibri" w:cs="Arial"/>
          <w:szCs w:val="24"/>
        </w:rPr>
      </w:pPr>
    </w:p>
    <w:p w14:paraId="710CB75B" w14:textId="77777777" w:rsidR="00A23722" w:rsidRPr="00A23722" w:rsidRDefault="00A23722" w:rsidP="00A23722">
      <w:pPr>
        <w:spacing w:after="0" w:line="276" w:lineRule="auto"/>
        <w:rPr>
          <w:rFonts w:eastAsia="Calibri" w:cs="Arial"/>
          <w:szCs w:val="24"/>
        </w:rPr>
      </w:pPr>
    </w:p>
    <w:p w14:paraId="0FE30D8E" w14:textId="780563C7" w:rsidR="00A23722" w:rsidRPr="00A23722" w:rsidRDefault="00A23722" w:rsidP="00A23722">
      <w:pPr>
        <w:widowControl w:val="0"/>
        <w:numPr>
          <w:ilvl w:val="0"/>
          <w:numId w:val="1"/>
        </w:numPr>
        <w:spacing w:after="0" w:line="276" w:lineRule="auto"/>
        <w:rPr>
          <w:rFonts w:eastAsia="Calibri" w:cs="Arial"/>
          <w:szCs w:val="24"/>
        </w:rPr>
      </w:pPr>
      <w:r w:rsidRPr="00A23722">
        <w:rPr>
          <w:rFonts w:eastAsia="Calibri" w:cs="Arial"/>
          <w:szCs w:val="24"/>
        </w:rPr>
        <w:lastRenderedPageBreak/>
        <w:t>informal engagement with commissioners and I</w:t>
      </w:r>
      <w:r>
        <w:rPr>
          <w:rFonts w:eastAsia="Calibri" w:cs="Arial"/>
          <w:szCs w:val="24"/>
        </w:rPr>
        <w:t xml:space="preserve">ntegrated </w:t>
      </w:r>
      <w:r w:rsidRPr="00A23722">
        <w:rPr>
          <w:rFonts w:eastAsia="Calibri" w:cs="Arial"/>
          <w:szCs w:val="24"/>
        </w:rPr>
        <w:t>C</w:t>
      </w:r>
      <w:r>
        <w:rPr>
          <w:rFonts w:eastAsia="Calibri" w:cs="Arial"/>
          <w:szCs w:val="24"/>
        </w:rPr>
        <w:t xml:space="preserve">are </w:t>
      </w:r>
      <w:r w:rsidRPr="00A23722">
        <w:rPr>
          <w:rFonts w:eastAsia="Calibri" w:cs="Arial"/>
          <w:szCs w:val="24"/>
        </w:rPr>
        <w:t>S</w:t>
      </w:r>
      <w:r>
        <w:rPr>
          <w:rFonts w:eastAsia="Calibri" w:cs="Arial"/>
          <w:szCs w:val="24"/>
        </w:rPr>
        <w:t>ystems (ICS)</w:t>
      </w:r>
      <w:r w:rsidRPr="00A23722">
        <w:rPr>
          <w:rFonts w:eastAsia="Calibri" w:cs="Arial"/>
          <w:szCs w:val="24"/>
        </w:rPr>
        <w:t xml:space="preserve"> leads who have already developed a service offer in line with the areas set out in Investment and Evolution and have experience or evidence to share. This process is ongoing, and we welcome examples of local practice (including local service specifications, evidence of impact, and examples of performance indicators or metrics) or comments to </w:t>
      </w:r>
      <w:hyperlink r:id="rId11" w:history="1">
        <w:r w:rsidRPr="00A23722">
          <w:rPr>
            <w:rFonts w:eastAsia="Calibri" w:cs="Arial"/>
            <w:color w:val="0000FF"/>
            <w:szCs w:val="24"/>
            <w:u w:val="single"/>
          </w:rPr>
          <w:t>england.gpcontracts@nhs.net</w:t>
        </w:r>
      </w:hyperlink>
      <w:r w:rsidRPr="00A23722">
        <w:rPr>
          <w:rFonts w:eastAsia="Calibri" w:cs="Arial"/>
          <w:szCs w:val="24"/>
        </w:rPr>
        <w:t>;</w:t>
      </w:r>
    </w:p>
    <w:p w14:paraId="148BBEDB" w14:textId="77777777" w:rsidR="00A23722" w:rsidRPr="00A23722" w:rsidRDefault="00A23722" w:rsidP="00A23722">
      <w:pPr>
        <w:spacing w:after="0" w:line="276" w:lineRule="auto"/>
        <w:ind w:left="720"/>
        <w:rPr>
          <w:rFonts w:eastAsia="Calibri" w:cs="Arial"/>
          <w:szCs w:val="24"/>
        </w:rPr>
      </w:pPr>
    </w:p>
    <w:p w14:paraId="502588DC" w14:textId="77777777" w:rsidR="00A23722" w:rsidRPr="00A23722" w:rsidRDefault="00A23722" w:rsidP="00A23722">
      <w:pPr>
        <w:widowControl w:val="0"/>
        <w:numPr>
          <w:ilvl w:val="0"/>
          <w:numId w:val="1"/>
        </w:numPr>
        <w:spacing w:after="0" w:line="276" w:lineRule="auto"/>
        <w:rPr>
          <w:rFonts w:eastAsia="Calibri" w:cs="Arial"/>
          <w:szCs w:val="24"/>
        </w:rPr>
      </w:pPr>
      <w:r w:rsidRPr="00A23722">
        <w:rPr>
          <w:rFonts w:eastAsia="Calibri" w:cs="Arial"/>
          <w:szCs w:val="24"/>
        </w:rPr>
        <w:t>the establishment of five expert working groups, covering each of the specifications to be introduced in 2020/21, to agree clinical priorities for each intervention and to test emerging propositions. These groups include representation from commissioners or systems, alongside GP representatives, charities and patient groups. The groups are meeting through August and September.</w:t>
      </w:r>
    </w:p>
    <w:p w14:paraId="4B004DB1" w14:textId="77777777" w:rsidR="00A23722" w:rsidRPr="00A23722" w:rsidRDefault="00A23722" w:rsidP="00A23722">
      <w:pPr>
        <w:spacing w:after="0" w:line="276" w:lineRule="auto"/>
        <w:rPr>
          <w:rFonts w:eastAsia="Calibri" w:cs="Arial"/>
          <w:szCs w:val="24"/>
        </w:rPr>
      </w:pPr>
    </w:p>
    <w:p w14:paraId="65B15D1C" w14:textId="77777777" w:rsidR="00A23722" w:rsidRPr="00A23722" w:rsidRDefault="00A23722" w:rsidP="00A23722">
      <w:pPr>
        <w:spacing w:after="0" w:line="276" w:lineRule="auto"/>
        <w:rPr>
          <w:rFonts w:eastAsia="Calibri" w:cs="Arial"/>
          <w:szCs w:val="24"/>
        </w:rPr>
      </w:pPr>
      <w:r w:rsidRPr="00A23722">
        <w:rPr>
          <w:rFonts w:eastAsia="Calibri" w:cs="Arial"/>
          <w:szCs w:val="24"/>
        </w:rPr>
        <w:t xml:space="preserve">In addition, NHS England will shortly commission a return from each CCG to build a comprehensive picture of the locally commissioned services which are currently in operation covering the forthcoming national network service specifications. I would be very grateful for your support in completing this as fully as possible: doing so will ensure that we are better informed when designing the service specifications, so that we build as far as possible upon existing successful local interventions. </w:t>
      </w:r>
    </w:p>
    <w:p w14:paraId="604DE4E5" w14:textId="77777777" w:rsidR="00A23722" w:rsidRPr="00A23722" w:rsidRDefault="00A23722" w:rsidP="00A23722">
      <w:pPr>
        <w:spacing w:after="0" w:line="276" w:lineRule="auto"/>
        <w:rPr>
          <w:rFonts w:eastAsia="Calibri" w:cs="Arial"/>
          <w:szCs w:val="24"/>
        </w:rPr>
      </w:pPr>
    </w:p>
    <w:p w14:paraId="27530A59" w14:textId="7E220C3D" w:rsidR="00A23722" w:rsidRPr="00A23722" w:rsidRDefault="00A23722" w:rsidP="00A23722">
      <w:pPr>
        <w:spacing w:after="0" w:line="276" w:lineRule="auto"/>
        <w:rPr>
          <w:rFonts w:eastAsia="Calibri" w:cs="Arial"/>
          <w:szCs w:val="24"/>
        </w:rPr>
      </w:pPr>
      <w:r w:rsidRPr="00A23722">
        <w:rPr>
          <w:rFonts w:eastAsia="Calibri" w:cs="Arial"/>
          <w:szCs w:val="24"/>
        </w:rPr>
        <w:t>NHS England expects to share the draft specifications with stakeholders in the autumn, including representatives from CCGs and ICSs, before each specification is discussed during the annual GP contract negotiations from October to Decembe</w:t>
      </w:r>
      <w:r w:rsidR="002D4FC0">
        <w:rPr>
          <w:rFonts w:eastAsia="Calibri" w:cs="Arial"/>
          <w:szCs w:val="24"/>
        </w:rPr>
        <w:t>r 2019</w:t>
      </w:r>
      <w:r w:rsidRPr="00A23722">
        <w:rPr>
          <w:rFonts w:eastAsia="Calibri" w:cs="Arial"/>
          <w:szCs w:val="24"/>
        </w:rPr>
        <w:t xml:space="preserve">. Following negotiations, we expect to publish the final specifications by the end of February 2020 prior to implementation from 1 April 2020. </w:t>
      </w:r>
    </w:p>
    <w:p w14:paraId="37C0B40D" w14:textId="77777777" w:rsidR="00A23722" w:rsidRPr="00A23722" w:rsidRDefault="00A23722" w:rsidP="00A23722">
      <w:pPr>
        <w:spacing w:after="0" w:line="276" w:lineRule="auto"/>
        <w:rPr>
          <w:rFonts w:eastAsia="Calibri" w:cs="Arial"/>
          <w:szCs w:val="24"/>
        </w:rPr>
      </w:pPr>
    </w:p>
    <w:p w14:paraId="76C827A4" w14:textId="77777777" w:rsidR="00A23722" w:rsidRPr="00A23722" w:rsidRDefault="00A23722" w:rsidP="00A23722">
      <w:pPr>
        <w:spacing w:after="0" w:line="276" w:lineRule="auto"/>
        <w:rPr>
          <w:rFonts w:eastAsia="Calibri" w:cs="Arial"/>
          <w:szCs w:val="24"/>
          <w:u w:val="single"/>
        </w:rPr>
      </w:pPr>
      <w:r w:rsidRPr="00A23722">
        <w:rPr>
          <w:rFonts w:eastAsia="Calibri" w:cs="Arial"/>
          <w:szCs w:val="24"/>
          <w:u w:val="single"/>
        </w:rPr>
        <w:t>Network Dashboard and Impact and Investment Fund</w:t>
      </w:r>
    </w:p>
    <w:p w14:paraId="77A5C55F" w14:textId="77777777" w:rsidR="00A23722" w:rsidRPr="00A23722" w:rsidRDefault="00A23722" w:rsidP="00A23722">
      <w:pPr>
        <w:spacing w:after="0" w:line="276" w:lineRule="auto"/>
        <w:rPr>
          <w:rFonts w:eastAsia="Calibri" w:cs="Arial"/>
          <w:szCs w:val="24"/>
          <w:u w:val="single"/>
        </w:rPr>
      </w:pPr>
    </w:p>
    <w:p w14:paraId="2D91C506" w14:textId="77777777" w:rsidR="00A23722" w:rsidRPr="00A23722" w:rsidRDefault="00A23722" w:rsidP="00A23722">
      <w:pPr>
        <w:spacing w:after="0" w:line="276" w:lineRule="auto"/>
        <w:rPr>
          <w:rFonts w:eastAsia="Calibri" w:cs="Arial"/>
          <w:szCs w:val="24"/>
        </w:rPr>
      </w:pPr>
      <w:r w:rsidRPr="00A23722">
        <w:rPr>
          <w:rFonts w:eastAsia="Calibri" w:cs="Arial"/>
          <w:szCs w:val="24"/>
        </w:rPr>
        <w:t xml:space="preserve">In addition to the service requirements, changes in 2020/21 will include the introduction of the Network Dashboard and the Impact and Investment Fund which will complement service requirements. The service specifications will set minimum requirements within the DES. The dashboard will include measures of success to allow PCNs to benchmark their performance and monitor their delivery of the five service specifications. </w:t>
      </w:r>
    </w:p>
    <w:p w14:paraId="4C40463B" w14:textId="77777777" w:rsidR="00A23722" w:rsidRPr="00A23722" w:rsidRDefault="00A23722" w:rsidP="00A23722">
      <w:pPr>
        <w:spacing w:after="0" w:line="276" w:lineRule="auto"/>
        <w:rPr>
          <w:rFonts w:eastAsia="Calibri" w:cs="Arial"/>
          <w:szCs w:val="24"/>
        </w:rPr>
      </w:pPr>
    </w:p>
    <w:p w14:paraId="58D3111C" w14:textId="77777777" w:rsidR="00A23722" w:rsidRPr="00A23722" w:rsidRDefault="00A23722" w:rsidP="00A23722">
      <w:pPr>
        <w:spacing w:after="0" w:line="276" w:lineRule="auto"/>
        <w:rPr>
          <w:rFonts w:eastAsia="Calibri" w:cs="Arial"/>
          <w:szCs w:val="24"/>
        </w:rPr>
      </w:pPr>
      <w:r w:rsidRPr="00A23722">
        <w:rPr>
          <w:rFonts w:eastAsia="Calibri" w:cs="Arial"/>
          <w:szCs w:val="24"/>
        </w:rPr>
        <w:t xml:space="preserve">The Impact and Investment Fund (IIF) is expected to provide additional funding to PCNs which go further and faster to deliver the national service specifications and provide an incentive for PCNs to reduce unwarranted demand on NHS services, including overprescribing and inappropriate A&amp;E attendances. The IIF is expected to commence in </w:t>
      </w:r>
      <w:proofErr w:type="gramStart"/>
      <w:r w:rsidRPr="00A23722">
        <w:rPr>
          <w:rFonts w:eastAsia="Calibri" w:cs="Arial"/>
          <w:szCs w:val="24"/>
        </w:rPr>
        <w:t>April 2020, and</w:t>
      </w:r>
      <w:proofErr w:type="gramEnd"/>
      <w:r w:rsidRPr="00A23722">
        <w:rPr>
          <w:rFonts w:eastAsia="Calibri" w:cs="Arial"/>
          <w:szCs w:val="24"/>
        </w:rPr>
        <w:t xml:space="preserve"> will develop over the subsequent four years following further engagement and discussion. NHS England is developing proposals for the </w:t>
      </w:r>
      <w:r w:rsidRPr="00A23722">
        <w:rPr>
          <w:rFonts w:eastAsia="Calibri" w:cs="Arial"/>
          <w:szCs w:val="24"/>
        </w:rPr>
        <w:lastRenderedPageBreak/>
        <w:t>first year of the operation of the IIF, ahead of formal contract discussions with GPC England.</w:t>
      </w:r>
    </w:p>
    <w:p w14:paraId="34444A8C" w14:textId="77777777" w:rsidR="00A23722" w:rsidRPr="00A23722" w:rsidRDefault="00A23722" w:rsidP="00A23722">
      <w:pPr>
        <w:spacing w:after="0" w:line="276" w:lineRule="auto"/>
        <w:rPr>
          <w:rFonts w:eastAsia="Calibri" w:cs="Arial"/>
          <w:szCs w:val="24"/>
          <w:u w:val="single"/>
        </w:rPr>
      </w:pPr>
    </w:p>
    <w:p w14:paraId="37DBEB7E" w14:textId="77777777" w:rsidR="00A23722" w:rsidRPr="00A23722" w:rsidRDefault="00A23722" w:rsidP="00A23722">
      <w:pPr>
        <w:spacing w:after="0" w:line="276" w:lineRule="auto"/>
        <w:rPr>
          <w:rFonts w:eastAsia="Calibri" w:cs="Arial"/>
          <w:szCs w:val="24"/>
          <w:u w:val="single"/>
        </w:rPr>
      </w:pPr>
      <w:r w:rsidRPr="00A23722">
        <w:rPr>
          <w:rFonts w:eastAsia="Calibri" w:cs="Arial"/>
          <w:szCs w:val="24"/>
          <w:u w:val="single"/>
        </w:rPr>
        <w:t>Additional Roles Reimbursement</w:t>
      </w:r>
    </w:p>
    <w:p w14:paraId="0AE618E5" w14:textId="77777777" w:rsidR="00A23722" w:rsidRPr="00A23722" w:rsidRDefault="00A23722" w:rsidP="00A23722">
      <w:pPr>
        <w:spacing w:after="0" w:line="276" w:lineRule="auto"/>
        <w:rPr>
          <w:rFonts w:eastAsia="Calibri" w:cs="Arial"/>
          <w:szCs w:val="24"/>
          <w:u w:val="single"/>
        </w:rPr>
      </w:pPr>
    </w:p>
    <w:p w14:paraId="3855ADAF" w14:textId="77777777" w:rsidR="00A23722" w:rsidRPr="00A23722" w:rsidRDefault="00A23722" w:rsidP="00A23722">
      <w:pPr>
        <w:spacing w:after="0" w:line="276" w:lineRule="auto"/>
        <w:rPr>
          <w:rFonts w:eastAsia="Calibri" w:cs="Arial"/>
          <w:szCs w:val="24"/>
        </w:rPr>
      </w:pPr>
      <w:r w:rsidRPr="00A23722">
        <w:rPr>
          <w:rFonts w:eastAsia="Calibri" w:cs="Arial"/>
          <w:szCs w:val="24"/>
        </w:rPr>
        <w:t xml:space="preserve">Guidance for additional roles reimbursement has been published. Full details are available at </w:t>
      </w:r>
      <w:hyperlink r:id="rId12" w:history="1">
        <w:r w:rsidRPr="00A23722">
          <w:rPr>
            <w:rFonts w:eastAsia="Calibri" w:cs="Arial"/>
            <w:color w:val="0000FF"/>
            <w:szCs w:val="24"/>
            <w:u w:val="single"/>
          </w:rPr>
          <w:t>https://www.england.nhs.uk/publication/network-contract-directed-enhanced-service-additional-roles-reimbursement-scheme-guidance/</w:t>
        </w:r>
      </w:hyperlink>
      <w:r w:rsidRPr="00A23722">
        <w:rPr>
          <w:rFonts w:eastAsia="Calibri" w:cs="Arial"/>
          <w:szCs w:val="24"/>
        </w:rPr>
        <w:t xml:space="preserve">. The guidance provides detailed advice on how CCGs should assess reimbursement claims from PCNs, including the principles for additionality. The guidance also sets out the actions that PCNs and CCGs are expected to take if they are not planning to use the full additional roles reimbursement funding in 2019/20, and clarifies that additional roles reimbursement funding cannot be used outside the terms of the DES (including, for example, higher levels of reimbursement or reimbursement for costs not specified in the DES). </w:t>
      </w:r>
    </w:p>
    <w:p w14:paraId="49F4D7A8" w14:textId="77777777" w:rsidR="00A23722" w:rsidRPr="00A23722" w:rsidRDefault="00A23722" w:rsidP="00A23722">
      <w:pPr>
        <w:spacing w:after="0" w:line="276" w:lineRule="auto"/>
        <w:rPr>
          <w:rFonts w:eastAsia="Calibri" w:cs="Arial"/>
          <w:szCs w:val="24"/>
        </w:rPr>
      </w:pPr>
    </w:p>
    <w:p w14:paraId="51023401" w14:textId="77777777" w:rsidR="00A23722" w:rsidRPr="00A23722" w:rsidRDefault="00A23722" w:rsidP="00A23722">
      <w:pPr>
        <w:spacing w:after="0" w:line="276" w:lineRule="auto"/>
        <w:rPr>
          <w:rFonts w:eastAsia="Calibri" w:cs="Arial"/>
          <w:szCs w:val="24"/>
        </w:rPr>
      </w:pPr>
      <w:r w:rsidRPr="00A23722">
        <w:rPr>
          <w:rFonts w:eastAsia="Calibri" w:cs="Arial"/>
          <w:szCs w:val="24"/>
        </w:rPr>
        <w:t xml:space="preserve">For 2019/20, in the unlikely event that a CCG forecasts an underspend on its Additional Roles Reimbursement Scheme funding (as a result of PCNs failing to draw down their full entitlement), NHS England strongly encourages CCGs to put in place local schemes to share that unused financial entitlement across the other PCNs in the area to enable them to carry out further recruitment – on the terms set out in the Network Contract DES and in this guidance – above their 2019/20 entitlement (with those further additional posts then attracting national funding via the Additional Roles Reimbursement Sum for 2020/21). For 2020/21 and beyond, </w:t>
      </w:r>
      <w:r w:rsidRPr="00A23722">
        <w:rPr>
          <w:rFonts w:eastAsia="Calibri" w:cs="Arial"/>
          <w:iCs/>
          <w:szCs w:val="24"/>
        </w:rPr>
        <w:t>NHS England intends to discuss with GPC England and primary care commissioners the introduction of a national system of entitlements for PCNs to claim unused Additional Roles Reimbursement Scheme funding from other PCNs’ unused entitlements within a CCG area. This would enable those PCNs which have made swift progress in recruiting to the additional roles set out in the Network Contract DES to bring forward further recruitment plans from the subsequent year.</w:t>
      </w:r>
      <w:r w:rsidRPr="00A23722">
        <w:rPr>
          <w:rFonts w:eastAsia="Calibri" w:cs="Arial"/>
          <w:szCs w:val="24"/>
        </w:rPr>
        <w:t xml:space="preserve">   </w:t>
      </w:r>
    </w:p>
    <w:p w14:paraId="5C91DA63" w14:textId="77777777" w:rsidR="00A23722" w:rsidRPr="00A23722" w:rsidRDefault="00A23722" w:rsidP="00A23722">
      <w:pPr>
        <w:spacing w:after="0" w:line="276" w:lineRule="auto"/>
        <w:rPr>
          <w:rFonts w:eastAsia="Calibri" w:cs="Arial"/>
          <w:szCs w:val="24"/>
          <w:u w:val="single"/>
        </w:rPr>
      </w:pPr>
    </w:p>
    <w:p w14:paraId="6273E181" w14:textId="77777777" w:rsidR="00A23722" w:rsidRPr="00A23722" w:rsidRDefault="00A23722" w:rsidP="00A23722">
      <w:pPr>
        <w:spacing w:after="0" w:line="276" w:lineRule="auto"/>
        <w:rPr>
          <w:rFonts w:eastAsia="Calibri" w:cs="Arial"/>
          <w:szCs w:val="24"/>
          <w:u w:val="single"/>
        </w:rPr>
      </w:pPr>
      <w:r w:rsidRPr="00A23722">
        <w:rPr>
          <w:rFonts w:eastAsia="Calibri" w:cs="Arial"/>
          <w:szCs w:val="24"/>
          <w:u w:val="single"/>
        </w:rPr>
        <w:t>Data Sharing Agreement</w:t>
      </w:r>
    </w:p>
    <w:p w14:paraId="129EEE07" w14:textId="77777777" w:rsidR="00A23722" w:rsidRPr="00A23722" w:rsidRDefault="00A23722" w:rsidP="00A23722">
      <w:pPr>
        <w:spacing w:after="0" w:line="276" w:lineRule="auto"/>
        <w:rPr>
          <w:rFonts w:eastAsia="Calibri" w:cs="Arial"/>
          <w:szCs w:val="24"/>
          <w:u w:val="single"/>
        </w:rPr>
      </w:pPr>
    </w:p>
    <w:p w14:paraId="761E460D" w14:textId="77777777" w:rsidR="00A23722" w:rsidRPr="00A23722" w:rsidRDefault="00A23722" w:rsidP="00A23722">
      <w:pPr>
        <w:spacing w:after="0" w:line="276" w:lineRule="auto"/>
        <w:rPr>
          <w:rFonts w:eastAsia="Calibri" w:cs="Arial"/>
          <w:szCs w:val="24"/>
        </w:rPr>
      </w:pPr>
      <w:r w:rsidRPr="00A23722">
        <w:rPr>
          <w:rFonts w:eastAsia="Calibri" w:cs="Arial"/>
          <w:szCs w:val="24"/>
        </w:rPr>
        <w:t xml:space="preserve">A data sharing agreement template, developed in conjunction with GPC England, has now been published and is available at </w:t>
      </w:r>
      <w:hyperlink r:id="rId13" w:history="1">
        <w:r w:rsidRPr="00A23722">
          <w:rPr>
            <w:rFonts w:eastAsia="Calibri" w:cs="Arial"/>
            <w:color w:val="0000FF"/>
            <w:szCs w:val="24"/>
            <w:u w:val="single"/>
          </w:rPr>
          <w:t>https://www.england.nhs.uk/publication/network-contract-directed-enhanced-service-data-templates/</w:t>
        </w:r>
      </w:hyperlink>
      <w:r w:rsidRPr="00A23722">
        <w:rPr>
          <w:rFonts w:eastAsia="Calibri" w:cs="Arial"/>
          <w:szCs w:val="24"/>
        </w:rPr>
        <w:t xml:space="preserve">. PCNs can use this template as the basis for an agreement around data sharing processes across the different providers within a network. CCGs need to be assured that a Data Sharing Agreement is in place where data sharing is required for providing services across a network. </w:t>
      </w:r>
    </w:p>
    <w:p w14:paraId="027253D1" w14:textId="77777777" w:rsidR="00A23722" w:rsidRPr="00A23722" w:rsidRDefault="00A23722" w:rsidP="00A23722">
      <w:pPr>
        <w:spacing w:after="0" w:line="276" w:lineRule="auto"/>
        <w:rPr>
          <w:rFonts w:eastAsia="Calibri" w:cs="Arial"/>
          <w:szCs w:val="24"/>
        </w:rPr>
      </w:pPr>
    </w:p>
    <w:p w14:paraId="1D1D5D6F" w14:textId="77777777" w:rsidR="002D4FC0" w:rsidRDefault="002D4FC0" w:rsidP="00A23722">
      <w:pPr>
        <w:spacing w:after="0" w:line="276" w:lineRule="auto"/>
        <w:rPr>
          <w:rFonts w:eastAsia="Calibri" w:cs="Arial"/>
          <w:szCs w:val="24"/>
          <w:u w:val="single"/>
        </w:rPr>
      </w:pPr>
    </w:p>
    <w:p w14:paraId="3C2E2FE3" w14:textId="77777777" w:rsidR="002D4FC0" w:rsidRDefault="002D4FC0" w:rsidP="00A23722">
      <w:pPr>
        <w:spacing w:after="0" w:line="276" w:lineRule="auto"/>
        <w:rPr>
          <w:rFonts w:eastAsia="Calibri" w:cs="Arial"/>
          <w:szCs w:val="24"/>
          <w:u w:val="single"/>
        </w:rPr>
      </w:pPr>
    </w:p>
    <w:p w14:paraId="58BB9E02" w14:textId="77777777" w:rsidR="002D4FC0" w:rsidRDefault="002D4FC0" w:rsidP="00A23722">
      <w:pPr>
        <w:spacing w:after="0" w:line="276" w:lineRule="auto"/>
        <w:rPr>
          <w:rFonts w:eastAsia="Calibri" w:cs="Arial"/>
          <w:szCs w:val="24"/>
          <w:u w:val="single"/>
        </w:rPr>
      </w:pPr>
    </w:p>
    <w:p w14:paraId="77062C66" w14:textId="52EFE89D" w:rsidR="00A23722" w:rsidRPr="00A23722" w:rsidRDefault="00A23722" w:rsidP="00A23722">
      <w:pPr>
        <w:spacing w:after="0" w:line="276" w:lineRule="auto"/>
        <w:rPr>
          <w:rFonts w:eastAsia="Calibri" w:cs="Arial"/>
          <w:szCs w:val="24"/>
          <w:u w:val="single"/>
        </w:rPr>
      </w:pPr>
      <w:r w:rsidRPr="00A23722">
        <w:rPr>
          <w:rFonts w:eastAsia="Calibri" w:cs="Arial"/>
          <w:szCs w:val="24"/>
          <w:u w:val="single"/>
        </w:rPr>
        <w:lastRenderedPageBreak/>
        <w:t>Recording PCNs in CQRS</w:t>
      </w:r>
    </w:p>
    <w:p w14:paraId="42E23D18" w14:textId="77777777" w:rsidR="00A23722" w:rsidRPr="00A23722" w:rsidRDefault="00A23722" w:rsidP="00A23722">
      <w:pPr>
        <w:spacing w:after="0" w:line="276" w:lineRule="auto"/>
        <w:rPr>
          <w:rFonts w:eastAsia="Calibri" w:cs="Arial"/>
          <w:szCs w:val="24"/>
          <w:u w:val="single"/>
        </w:rPr>
      </w:pPr>
    </w:p>
    <w:p w14:paraId="7C4E8BD2" w14:textId="0B36240B" w:rsidR="00A23722" w:rsidRPr="00A23722" w:rsidRDefault="00A23722" w:rsidP="00A23722">
      <w:pPr>
        <w:widowControl w:val="0"/>
        <w:spacing w:after="0" w:line="276" w:lineRule="auto"/>
        <w:rPr>
          <w:rFonts w:eastAsia="Times New Roman" w:cs="Arial"/>
          <w:snapToGrid w:val="0"/>
          <w:color w:val="000000"/>
          <w:szCs w:val="24"/>
        </w:rPr>
      </w:pPr>
      <w:r w:rsidRPr="00A23722">
        <w:rPr>
          <w:rFonts w:eastAsia="Times New Roman" w:cs="Arial"/>
          <w:snapToGrid w:val="0"/>
          <w:szCs w:val="24"/>
        </w:rPr>
        <w:t xml:space="preserve">CCGs have been contacted by NHS Digital to begin recording Primary Care Network membership within </w:t>
      </w:r>
      <w:r w:rsidR="002D4FC0">
        <w:rPr>
          <w:rFonts w:eastAsia="Times New Roman" w:cs="Arial"/>
          <w:snapToGrid w:val="0"/>
          <w:szCs w:val="24"/>
        </w:rPr>
        <w:t xml:space="preserve">the </w:t>
      </w:r>
      <w:r w:rsidRPr="00A23722">
        <w:rPr>
          <w:rFonts w:eastAsia="Times New Roman" w:cs="Arial"/>
          <w:snapToGrid w:val="0"/>
          <w:szCs w:val="24"/>
        </w:rPr>
        <w:t>C</w:t>
      </w:r>
      <w:r w:rsidR="002D4FC0">
        <w:rPr>
          <w:rFonts w:eastAsia="Times New Roman" w:cs="Arial"/>
          <w:snapToGrid w:val="0"/>
          <w:szCs w:val="24"/>
        </w:rPr>
        <w:t xml:space="preserve">alculating </w:t>
      </w:r>
      <w:r w:rsidRPr="00A23722">
        <w:rPr>
          <w:rFonts w:eastAsia="Times New Roman" w:cs="Arial"/>
          <w:snapToGrid w:val="0"/>
          <w:szCs w:val="24"/>
        </w:rPr>
        <w:t>Q</w:t>
      </w:r>
      <w:r w:rsidR="002D4FC0">
        <w:rPr>
          <w:rFonts w:eastAsia="Times New Roman" w:cs="Arial"/>
          <w:snapToGrid w:val="0"/>
          <w:szCs w:val="24"/>
        </w:rPr>
        <w:t xml:space="preserve">uality </w:t>
      </w:r>
      <w:r w:rsidRPr="00A23722">
        <w:rPr>
          <w:rFonts w:eastAsia="Times New Roman" w:cs="Arial"/>
          <w:snapToGrid w:val="0"/>
          <w:szCs w:val="24"/>
        </w:rPr>
        <w:t>R</w:t>
      </w:r>
      <w:r w:rsidR="002D4FC0">
        <w:rPr>
          <w:rFonts w:eastAsia="Times New Roman" w:cs="Arial"/>
          <w:snapToGrid w:val="0"/>
          <w:szCs w:val="24"/>
        </w:rPr>
        <w:t xml:space="preserve">eporting </w:t>
      </w:r>
      <w:r w:rsidRPr="00A23722">
        <w:rPr>
          <w:rFonts w:eastAsia="Times New Roman" w:cs="Arial"/>
          <w:snapToGrid w:val="0"/>
          <w:szCs w:val="24"/>
        </w:rPr>
        <w:t>S</w:t>
      </w:r>
      <w:r w:rsidR="002D4FC0">
        <w:rPr>
          <w:rFonts w:eastAsia="Times New Roman" w:cs="Arial"/>
          <w:snapToGrid w:val="0"/>
          <w:szCs w:val="24"/>
        </w:rPr>
        <w:t>ervice (CQRS)</w:t>
      </w:r>
      <w:r w:rsidRPr="00A23722">
        <w:rPr>
          <w:rFonts w:eastAsia="Times New Roman" w:cs="Arial"/>
          <w:snapToGrid w:val="0"/>
          <w:szCs w:val="24"/>
        </w:rPr>
        <w:t>.</w:t>
      </w:r>
      <w:r w:rsidRPr="00A23722">
        <w:rPr>
          <w:rFonts w:eastAsia="Times New Roman" w:cs="Arial"/>
          <w:snapToGrid w:val="0"/>
          <w:color w:val="000000"/>
          <w:szCs w:val="24"/>
        </w:rPr>
        <w:t xml:space="preserve"> Commissioning organisations are required to create PCN clusters for their areas during August</w:t>
      </w:r>
      <w:r w:rsidR="002D4FC0">
        <w:rPr>
          <w:rFonts w:eastAsia="Times New Roman" w:cs="Arial"/>
          <w:snapToGrid w:val="0"/>
          <w:color w:val="000000"/>
          <w:szCs w:val="24"/>
        </w:rPr>
        <w:t xml:space="preserve"> 2019</w:t>
      </w:r>
      <w:r w:rsidRPr="00A23722">
        <w:rPr>
          <w:rFonts w:eastAsia="Times New Roman" w:cs="Arial"/>
          <w:snapToGrid w:val="0"/>
          <w:color w:val="000000"/>
          <w:szCs w:val="24"/>
        </w:rPr>
        <w:t>. This will be the main way Primary Care Network participation and membership will be recorded at CCG, Regional and National level whilst work is underway to create Organisation Data Service (ODS</w:t>
      </w:r>
      <w:r w:rsidR="002D4FC0">
        <w:rPr>
          <w:rFonts w:eastAsia="Times New Roman" w:cs="Arial"/>
          <w:snapToGrid w:val="0"/>
          <w:color w:val="000000"/>
          <w:szCs w:val="24"/>
        </w:rPr>
        <w:t>)</w:t>
      </w:r>
      <w:r w:rsidRPr="00A23722">
        <w:rPr>
          <w:rFonts w:eastAsia="Times New Roman" w:cs="Arial"/>
          <w:snapToGrid w:val="0"/>
          <w:color w:val="000000"/>
          <w:szCs w:val="24"/>
        </w:rPr>
        <w:t xml:space="preserve"> codes to PCNs. </w:t>
      </w:r>
    </w:p>
    <w:p w14:paraId="6C56E9C7" w14:textId="77777777" w:rsidR="00A23722" w:rsidRPr="00A23722" w:rsidRDefault="00A23722" w:rsidP="00A23722">
      <w:pPr>
        <w:widowControl w:val="0"/>
        <w:spacing w:after="0" w:line="276" w:lineRule="auto"/>
        <w:rPr>
          <w:rFonts w:eastAsia="Times New Roman" w:cs="Arial"/>
          <w:snapToGrid w:val="0"/>
          <w:color w:val="000000"/>
          <w:szCs w:val="24"/>
        </w:rPr>
      </w:pPr>
    </w:p>
    <w:p w14:paraId="5D53661C" w14:textId="77777777" w:rsidR="00A23722" w:rsidRPr="00A23722" w:rsidRDefault="00A23722" w:rsidP="00A23722">
      <w:pPr>
        <w:widowControl w:val="0"/>
        <w:spacing w:after="0" w:line="276" w:lineRule="auto"/>
        <w:rPr>
          <w:rFonts w:eastAsia="Times New Roman" w:cs="Arial"/>
          <w:snapToGrid w:val="0"/>
          <w:color w:val="000000"/>
          <w:szCs w:val="24"/>
        </w:rPr>
      </w:pPr>
      <w:r w:rsidRPr="00A23722">
        <w:rPr>
          <w:rFonts w:eastAsia="Times New Roman" w:cs="Arial"/>
          <w:snapToGrid w:val="0"/>
          <w:color w:val="000000"/>
          <w:szCs w:val="24"/>
        </w:rPr>
        <w:t xml:space="preserve">It is important that every CCG completes this recording to give comprehensive data about PCN membership. Details about this collection are available here: </w:t>
      </w:r>
      <w:hyperlink r:id="rId14" w:history="1">
        <w:r w:rsidRPr="00A23722">
          <w:rPr>
            <w:rFonts w:eastAsia="Times New Roman" w:cs="Arial"/>
            <w:snapToGrid w:val="0"/>
            <w:color w:val="0000FF"/>
            <w:szCs w:val="24"/>
            <w:u w:val="single"/>
          </w:rPr>
          <w:t>https://digital.nhs.uk/services/general-practice-gp-collections/service-information/primary-care-networks</w:t>
        </w:r>
      </w:hyperlink>
      <w:r w:rsidRPr="00A23722">
        <w:rPr>
          <w:rFonts w:eastAsia="Times New Roman" w:cs="Arial"/>
          <w:snapToGrid w:val="0"/>
          <w:color w:val="000000"/>
          <w:szCs w:val="24"/>
        </w:rPr>
        <w:t>. Reporting will be available on CQRS to all commissioning organisations.</w:t>
      </w:r>
    </w:p>
    <w:p w14:paraId="638132E3" w14:textId="77777777" w:rsidR="00A23722" w:rsidRPr="00A23722" w:rsidRDefault="00A23722" w:rsidP="00A23722">
      <w:pPr>
        <w:widowControl w:val="0"/>
        <w:spacing w:after="0" w:line="276" w:lineRule="auto"/>
        <w:rPr>
          <w:rFonts w:eastAsia="Times New Roman" w:cs="Arial"/>
          <w:snapToGrid w:val="0"/>
          <w:szCs w:val="24"/>
        </w:rPr>
      </w:pPr>
    </w:p>
    <w:p w14:paraId="6E8A0BD3" w14:textId="50680D19" w:rsidR="00A23722" w:rsidRPr="00A23722" w:rsidRDefault="00A23722" w:rsidP="00A23722">
      <w:pPr>
        <w:widowControl w:val="0"/>
        <w:spacing w:after="0" w:line="276" w:lineRule="auto"/>
        <w:rPr>
          <w:rFonts w:eastAsia="Times New Roman" w:cs="Arial"/>
          <w:snapToGrid w:val="0"/>
          <w:szCs w:val="24"/>
        </w:rPr>
      </w:pPr>
      <w:r w:rsidRPr="00A23722">
        <w:rPr>
          <w:rFonts w:eastAsia="Times New Roman" w:cs="Arial"/>
          <w:snapToGrid w:val="0"/>
          <w:szCs w:val="24"/>
        </w:rPr>
        <w:t xml:space="preserve">To support the ongoing work to create PCN ODS codes, commissioners are asked to consider with their PCNs the naming convention guidance </w:t>
      </w:r>
      <w:r w:rsidR="008E05E0">
        <w:rPr>
          <w:rFonts w:eastAsia="Times New Roman" w:cs="Arial"/>
          <w:snapToGrid w:val="0"/>
          <w:szCs w:val="24"/>
        </w:rPr>
        <w:t xml:space="preserve">and PCN postal address </w:t>
      </w:r>
      <w:r w:rsidRPr="00A23722">
        <w:rPr>
          <w:rFonts w:eastAsia="Times New Roman" w:cs="Arial"/>
          <w:snapToGrid w:val="0"/>
          <w:szCs w:val="24"/>
        </w:rPr>
        <w:t>attached at Annex A. ODS requires organisations adhere to these naming conventions. As commissioners are currently working to record PCNs in CQRS, this provides the opportunity to ensure that PCN names meet these conventions.</w:t>
      </w:r>
      <w:r w:rsidR="0091436F" w:rsidRPr="0091436F">
        <w:rPr>
          <w:rFonts w:cs="Arial"/>
          <w:szCs w:val="24"/>
        </w:rPr>
        <w:t xml:space="preserve"> </w:t>
      </w:r>
    </w:p>
    <w:p w14:paraId="40F483EE" w14:textId="77777777" w:rsidR="00A23722" w:rsidRPr="00A23722" w:rsidRDefault="00A23722" w:rsidP="00A23722">
      <w:pPr>
        <w:spacing w:after="0" w:line="276" w:lineRule="auto"/>
        <w:rPr>
          <w:rFonts w:eastAsia="Calibri" w:cs="Arial"/>
          <w:szCs w:val="24"/>
        </w:rPr>
      </w:pPr>
    </w:p>
    <w:p w14:paraId="7F76190C" w14:textId="03793548" w:rsidR="00A23722" w:rsidRPr="00A23722" w:rsidRDefault="00A23722" w:rsidP="00A23722">
      <w:pPr>
        <w:spacing w:after="0" w:line="276" w:lineRule="auto"/>
        <w:rPr>
          <w:rFonts w:eastAsia="Calibri" w:cs="Arial"/>
          <w:szCs w:val="24"/>
        </w:rPr>
      </w:pPr>
      <w:r w:rsidRPr="00A23722">
        <w:rPr>
          <w:rFonts w:eastAsia="Calibri" w:cs="Arial"/>
          <w:szCs w:val="24"/>
        </w:rPr>
        <w:t>Yours sincerely</w:t>
      </w:r>
    </w:p>
    <w:p w14:paraId="70ABEE86" w14:textId="77777777" w:rsidR="00A23722" w:rsidRPr="00A23722" w:rsidRDefault="00A23722" w:rsidP="00A23722">
      <w:pPr>
        <w:spacing w:after="0" w:line="276" w:lineRule="auto"/>
        <w:rPr>
          <w:rFonts w:eastAsia="Calibri" w:cs="Arial"/>
          <w:szCs w:val="24"/>
        </w:rPr>
      </w:pPr>
    </w:p>
    <w:p w14:paraId="0EEA6C9D" w14:textId="77777777" w:rsidR="00A23722" w:rsidRPr="00A23722" w:rsidRDefault="00A23722" w:rsidP="00A23722">
      <w:pPr>
        <w:spacing w:after="0" w:line="276" w:lineRule="auto"/>
        <w:rPr>
          <w:rFonts w:eastAsia="Calibri" w:cs="Arial"/>
          <w:szCs w:val="24"/>
        </w:rPr>
      </w:pPr>
    </w:p>
    <w:p w14:paraId="52558618" w14:textId="77777777" w:rsidR="00A23722" w:rsidRPr="00A23722" w:rsidRDefault="00A23722" w:rsidP="00A23722">
      <w:pPr>
        <w:spacing w:after="0" w:line="276" w:lineRule="auto"/>
        <w:rPr>
          <w:rFonts w:eastAsia="Calibri" w:cs="Arial"/>
          <w:b/>
          <w:szCs w:val="24"/>
        </w:rPr>
      </w:pPr>
    </w:p>
    <w:p w14:paraId="3606365D" w14:textId="77777777" w:rsidR="00A23722" w:rsidRPr="00A23722" w:rsidRDefault="00A23722" w:rsidP="00A23722">
      <w:pPr>
        <w:spacing w:after="0" w:line="276" w:lineRule="auto"/>
        <w:rPr>
          <w:rFonts w:eastAsia="Calibri" w:cs="Arial"/>
          <w:b/>
          <w:szCs w:val="24"/>
        </w:rPr>
      </w:pPr>
    </w:p>
    <w:p w14:paraId="276059FD" w14:textId="77777777" w:rsidR="00A23722" w:rsidRPr="00A23722" w:rsidRDefault="00A23722" w:rsidP="00A23722">
      <w:pPr>
        <w:spacing w:after="0" w:line="276" w:lineRule="auto"/>
        <w:rPr>
          <w:rFonts w:eastAsia="Calibri" w:cs="Arial"/>
          <w:b/>
          <w:szCs w:val="24"/>
        </w:rPr>
      </w:pPr>
    </w:p>
    <w:p w14:paraId="36690E56" w14:textId="77777777" w:rsidR="00A23722" w:rsidRPr="00A23722" w:rsidRDefault="00A23722" w:rsidP="00A23722">
      <w:pPr>
        <w:spacing w:after="0" w:line="276" w:lineRule="auto"/>
        <w:rPr>
          <w:rFonts w:eastAsia="Calibri" w:cs="Arial"/>
          <w:b/>
          <w:szCs w:val="24"/>
        </w:rPr>
      </w:pPr>
    </w:p>
    <w:p w14:paraId="7757C165" w14:textId="77777777" w:rsidR="00A23722" w:rsidRPr="00A23722" w:rsidRDefault="00A23722" w:rsidP="00A23722">
      <w:pPr>
        <w:spacing w:after="0" w:line="276" w:lineRule="auto"/>
        <w:rPr>
          <w:rFonts w:eastAsia="Calibri" w:cs="Arial"/>
          <w:b/>
          <w:szCs w:val="24"/>
        </w:rPr>
      </w:pPr>
      <w:r w:rsidRPr="00A23722">
        <w:rPr>
          <w:rFonts w:eastAsia="Calibri" w:cs="Arial"/>
          <w:b/>
          <w:szCs w:val="24"/>
        </w:rPr>
        <w:t xml:space="preserve">Robert </w:t>
      </w:r>
      <w:proofErr w:type="spellStart"/>
      <w:r w:rsidRPr="00A23722">
        <w:rPr>
          <w:rFonts w:eastAsia="Calibri" w:cs="Arial"/>
          <w:b/>
          <w:szCs w:val="24"/>
        </w:rPr>
        <w:t>Kettell</w:t>
      </w:r>
      <w:proofErr w:type="spellEnd"/>
    </w:p>
    <w:p w14:paraId="7CA33CD1" w14:textId="77777777" w:rsidR="00A23722" w:rsidRPr="00A23722" w:rsidRDefault="00A23722" w:rsidP="00A23722">
      <w:pPr>
        <w:widowControl w:val="0"/>
        <w:spacing w:after="0" w:line="276" w:lineRule="auto"/>
        <w:rPr>
          <w:rFonts w:eastAsia="Calibri" w:cs="Arial"/>
          <w:b/>
          <w:szCs w:val="24"/>
        </w:rPr>
      </w:pPr>
      <w:r w:rsidRPr="00A23722">
        <w:rPr>
          <w:rFonts w:eastAsia="Calibri" w:cs="Arial"/>
          <w:b/>
          <w:szCs w:val="24"/>
        </w:rPr>
        <w:t>Deputy Director: Primary Care Networks</w:t>
      </w:r>
    </w:p>
    <w:p w14:paraId="1D612B51" w14:textId="77777777" w:rsidR="00A23722" w:rsidRPr="00A23722" w:rsidRDefault="00A23722" w:rsidP="00A23722">
      <w:pPr>
        <w:widowControl w:val="0"/>
        <w:spacing w:after="0" w:line="276" w:lineRule="auto"/>
        <w:rPr>
          <w:rFonts w:eastAsia="Calibri" w:cs="Arial"/>
          <w:b/>
          <w:szCs w:val="24"/>
        </w:rPr>
      </w:pPr>
      <w:r w:rsidRPr="00A23722">
        <w:rPr>
          <w:rFonts w:eastAsia="Calibri" w:cs="Arial"/>
          <w:b/>
          <w:szCs w:val="24"/>
        </w:rPr>
        <w:t>Primary Care Strategy and NHS Contracts Group</w:t>
      </w:r>
    </w:p>
    <w:p w14:paraId="33C792FA" w14:textId="77777777" w:rsidR="00A23722" w:rsidRPr="00A23722" w:rsidRDefault="00A23722" w:rsidP="00A23722">
      <w:pPr>
        <w:spacing w:after="200" w:line="276" w:lineRule="auto"/>
        <w:rPr>
          <w:rFonts w:eastAsia="Calibri" w:cs="Arial"/>
          <w:b/>
          <w:szCs w:val="24"/>
        </w:rPr>
      </w:pPr>
      <w:r w:rsidRPr="00A23722">
        <w:rPr>
          <w:rFonts w:eastAsia="Calibri" w:cs="Arial"/>
          <w:b/>
          <w:szCs w:val="24"/>
        </w:rPr>
        <w:br w:type="page"/>
      </w:r>
    </w:p>
    <w:p w14:paraId="0A5E3E6A" w14:textId="77777777" w:rsidR="00A23722" w:rsidRPr="00A23722" w:rsidRDefault="00A23722" w:rsidP="00A23722">
      <w:pPr>
        <w:widowControl w:val="0"/>
        <w:spacing w:after="0" w:line="276" w:lineRule="auto"/>
        <w:rPr>
          <w:rFonts w:eastAsia="Calibri" w:cs="Arial"/>
          <w:b/>
          <w:szCs w:val="24"/>
          <w:u w:val="single"/>
        </w:rPr>
      </w:pPr>
      <w:r w:rsidRPr="00A23722">
        <w:rPr>
          <w:rFonts w:eastAsia="Calibri" w:cs="Arial"/>
          <w:b/>
          <w:szCs w:val="24"/>
          <w:u w:val="single"/>
        </w:rPr>
        <w:lastRenderedPageBreak/>
        <w:t xml:space="preserve">Annex A: guidance on </w:t>
      </w:r>
      <w:r w:rsidRPr="00A23722">
        <w:rPr>
          <w:rFonts w:eastAsia="Times New Roman" w:cs="Arial"/>
          <w:b/>
          <w:snapToGrid w:val="0"/>
          <w:szCs w:val="24"/>
          <w:u w:val="single"/>
        </w:rPr>
        <w:t>naming conventions for the Organisational Data Service codes</w:t>
      </w:r>
    </w:p>
    <w:p w14:paraId="5C8D27D2" w14:textId="77777777" w:rsidR="00A23722" w:rsidRPr="00A23722" w:rsidRDefault="00A23722" w:rsidP="00A23722">
      <w:pPr>
        <w:widowControl w:val="0"/>
        <w:spacing w:after="0" w:line="240" w:lineRule="auto"/>
        <w:rPr>
          <w:rFonts w:eastAsia="Times New Roman" w:cs="Arial"/>
          <w:snapToGrid w:val="0"/>
          <w:szCs w:val="24"/>
        </w:rPr>
      </w:pPr>
    </w:p>
    <w:p w14:paraId="2E3D8FC9" w14:textId="77777777" w:rsidR="00A23722" w:rsidRPr="00A23722" w:rsidRDefault="00A23722" w:rsidP="00A23722">
      <w:pPr>
        <w:widowControl w:val="0"/>
        <w:spacing w:after="0" w:line="240" w:lineRule="auto"/>
        <w:rPr>
          <w:rFonts w:eastAsia="Times New Roman" w:cs="Arial"/>
          <w:b/>
          <w:snapToGrid w:val="0"/>
          <w:szCs w:val="24"/>
        </w:rPr>
      </w:pPr>
      <w:r w:rsidRPr="00A23722">
        <w:rPr>
          <w:rFonts w:eastAsia="Times New Roman" w:cs="Arial"/>
          <w:b/>
          <w:snapToGrid w:val="0"/>
          <w:szCs w:val="24"/>
        </w:rPr>
        <w:t>Background</w:t>
      </w:r>
    </w:p>
    <w:p w14:paraId="0AC1EC76" w14:textId="77777777" w:rsidR="00A23722" w:rsidRPr="00A23722" w:rsidRDefault="00A23722" w:rsidP="00A23722">
      <w:pPr>
        <w:widowControl w:val="0"/>
        <w:spacing w:after="0" w:line="240" w:lineRule="auto"/>
        <w:rPr>
          <w:rFonts w:eastAsia="Times New Roman" w:cs="Arial"/>
          <w:snapToGrid w:val="0"/>
          <w:szCs w:val="24"/>
        </w:rPr>
      </w:pPr>
    </w:p>
    <w:p w14:paraId="4C99278F" w14:textId="77777777" w:rsidR="00A23722" w:rsidRPr="00A23722" w:rsidRDefault="00A23722" w:rsidP="00A23722">
      <w:pPr>
        <w:widowControl w:val="0"/>
        <w:spacing w:after="0" w:line="240" w:lineRule="auto"/>
        <w:rPr>
          <w:rFonts w:eastAsia="Times New Roman" w:cs="Arial"/>
          <w:snapToGrid w:val="0"/>
          <w:szCs w:val="24"/>
        </w:rPr>
      </w:pPr>
      <w:r w:rsidRPr="00A23722">
        <w:rPr>
          <w:rFonts w:eastAsia="Times New Roman" w:cs="Arial"/>
          <w:snapToGrid w:val="0"/>
          <w:szCs w:val="24"/>
        </w:rPr>
        <w:t xml:space="preserve">NHS England and Improvement have been working with NHS Digital </w:t>
      </w:r>
      <w:hyperlink r:id="rId15" w:anchor="about-the-organisation-data-service" w:history="1">
        <w:r w:rsidRPr="00A23722">
          <w:rPr>
            <w:rFonts w:eastAsia="Times New Roman" w:cs="Arial"/>
            <w:snapToGrid w:val="0"/>
            <w:color w:val="0000FF"/>
            <w:szCs w:val="24"/>
            <w:u w:val="single"/>
          </w:rPr>
          <w:t>Organisation Data Service (ODS)</w:t>
        </w:r>
      </w:hyperlink>
      <w:r w:rsidRPr="00A23722">
        <w:rPr>
          <w:rFonts w:eastAsia="Times New Roman" w:cs="Arial"/>
          <w:snapToGrid w:val="0"/>
          <w:szCs w:val="24"/>
        </w:rPr>
        <w:t xml:space="preserve"> to put in place arrangements to support issuing ODS codes to Primary Care Networks. </w:t>
      </w:r>
    </w:p>
    <w:p w14:paraId="2A8F77BC" w14:textId="77777777" w:rsidR="00A23722" w:rsidRPr="00A23722" w:rsidRDefault="00A23722" w:rsidP="00A23722">
      <w:pPr>
        <w:widowControl w:val="0"/>
        <w:spacing w:after="0" w:line="240" w:lineRule="auto"/>
        <w:rPr>
          <w:rFonts w:eastAsia="Times New Roman" w:cs="Arial"/>
          <w:snapToGrid w:val="0"/>
          <w:szCs w:val="24"/>
        </w:rPr>
      </w:pPr>
    </w:p>
    <w:p w14:paraId="5CF13885" w14:textId="77777777" w:rsidR="00A23722" w:rsidRPr="00A23722" w:rsidRDefault="00A23722" w:rsidP="00A23722">
      <w:pPr>
        <w:widowControl w:val="0"/>
        <w:spacing w:after="0" w:line="240" w:lineRule="auto"/>
        <w:rPr>
          <w:rFonts w:eastAsia="Times New Roman" w:cs="Arial"/>
          <w:snapToGrid w:val="0"/>
          <w:szCs w:val="24"/>
        </w:rPr>
      </w:pPr>
      <w:r w:rsidRPr="00A23722">
        <w:rPr>
          <w:rFonts w:eastAsia="Times New Roman" w:cs="Arial"/>
          <w:snapToGrid w:val="0"/>
          <w:szCs w:val="24"/>
        </w:rPr>
        <w:t>ODS codes and reference data are integral to nearly all health and social care systems and processes and are relied upon for data flow, analytics and performance management. As well as supporting immediate payment and data flow requirements for PCN, ODS codes will also support ongoing mapping of GP practices and other providers to PCNs and future requirements.</w:t>
      </w:r>
    </w:p>
    <w:p w14:paraId="2D121C43" w14:textId="77777777" w:rsidR="00A23722" w:rsidRPr="00A23722" w:rsidRDefault="00A23722" w:rsidP="00A23722">
      <w:pPr>
        <w:widowControl w:val="0"/>
        <w:spacing w:after="0" w:line="240" w:lineRule="auto"/>
        <w:rPr>
          <w:rFonts w:eastAsia="Times New Roman" w:cs="Arial"/>
          <w:snapToGrid w:val="0"/>
          <w:szCs w:val="24"/>
        </w:rPr>
      </w:pPr>
    </w:p>
    <w:p w14:paraId="2AD2F6EE" w14:textId="77777777" w:rsidR="00A23722" w:rsidRPr="00A23722" w:rsidRDefault="00A23722" w:rsidP="00A23722">
      <w:pPr>
        <w:widowControl w:val="0"/>
        <w:spacing w:after="0" w:line="240" w:lineRule="auto"/>
        <w:rPr>
          <w:rFonts w:eastAsia="Times New Roman" w:cs="Arial"/>
          <w:snapToGrid w:val="0"/>
          <w:szCs w:val="24"/>
        </w:rPr>
      </w:pPr>
      <w:proofErr w:type="gramStart"/>
      <w:r w:rsidRPr="00A23722">
        <w:rPr>
          <w:rFonts w:eastAsia="Times New Roman" w:cs="Arial"/>
          <w:snapToGrid w:val="0"/>
          <w:szCs w:val="24"/>
        </w:rPr>
        <w:t>A number of</w:t>
      </w:r>
      <w:proofErr w:type="gramEnd"/>
      <w:r w:rsidRPr="00A23722">
        <w:rPr>
          <w:rFonts w:eastAsia="Times New Roman" w:cs="Arial"/>
          <w:snapToGrid w:val="0"/>
          <w:szCs w:val="24"/>
        </w:rPr>
        <w:t xml:space="preserve"> PCNs have already requested ODS codes to support other functionality, such as obtaining an nhs.net mail account. </w:t>
      </w:r>
    </w:p>
    <w:p w14:paraId="7A57D1F6" w14:textId="77777777" w:rsidR="00A23722" w:rsidRPr="00A23722" w:rsidRDefault="00A23722" w:rsidP="00A23722">
      <w:pPr>
        <w:widowControl w:val="0"/>
        <w:spacing w:after="0" w:line="240" w:lineRule="auto"/>
        <w:rPr>
          <w:rFonts w:eastAsia="Times New Roman" w:cs="Arial"/>
          <w:snapToGrid w:val="0"/>
          <w:szCs w:val="24"/>
        </w:rPr>
      </w:pPr>
    </w:p>
    <w:p w14:paraId="161ED1D7" w14:textId="77777777" w:rsidR="00A23722" w:rsidRPr="00A23722" w:rsidRDefault="00A23722" w:rsidP="00A23722">
      <w:pPr>
        <w:widowControl w:val="0"/>
        <w:spacing w:after="0" w:line="240" w:lineRule="auto"/>
        <w:rPr>
          <w:rFonts w:eastAsia="Times New Roman" w:cs="Arial"/>
          <w:snapToGrid w:val="0"/>
          <w:szCs w:val="24"/>
        </w:rPr>
      </w:pPr>
      <w:r w:rsidRPr="00A23722">
        <w:rPr>
          <w:rFonts w:eastAsia="Times New Roman" w:cs="Arial"/>
          <w:snapToGrid w:val="0"/>
          <w:szCs w:val="24"/>
        </w:rPr>
        <w:t xml:space="preserve">In order to support the national work underway, PCNs will be required to adhere to the naming conventions used within ODS to enable codes to be issued. PCNs will also be required to provide a valid UK address. NHS England and Improvement are therefore seeking support from commissioners to ensure PCN names meet these naming conventions. </w:t>
      </w:r>
    </w:p>
    <w:p w14:paraId="3764E82B" w14:textId="77777777" w:rsidR="00A23722" w:rsidRPr="00A23722" w:rsidRDefault="00A23722" w:rsidP="00A23722">
      <w:pPr>
        <w:widowControl w:val="0"/>
        <w:spacing w:after="0" w:line="240" w:lineRule="auto"/>
        <w:rPr>
          <w:rFonts w:eastAsia="Times New Roman" w:cs="Arial"/>
          <w:snapToGrid w:val="0"/>
          <w:szCs w:val="24"/>
        </w:rPr>
      </w:pPr>
    </w:p>
    <w:p w14:paraId="352B82E7" w14:textId="77777777" w:rsidR="00A23722" w:rsidRPr="00A23722" w:rsidRDefault="00A23722" w:rsidP="00A23722">
      <w:pPr>
        <w:widowControl w:val="0"/>
        <w:spacing w:after="0" w:line="240" w:lineRule="auto"/>
        <w:rPr>
          <w:rFonts w:eastAsia="Times New Roman" w:cs="Arial"/>
          <w:b/>
          <w:snapToGrid w:val="0"/>
          <w:szCs w:val="24"/>
        </w:rPr>
      </w:pPr>
      <w:r w:rsidRPr="00A23722">
        <w:rPr>
          <w:rFonts w:eastAsia="Times New Roman" w:cs="Arial"/>
          <w:b/>
          <w:snapToGrid w:val="0"/>
          <w:szCs w:val="24"/>
        </w:rPr>
        <w:t>PCN Clustering in Calculating Quality Reporting Service</w:t>
      </w:r>
    </w:p>
    <w:p w14:paraId="6149A41E" w14:textId="77777777" w:rsidR="00A23722" w:rsidRPr="00A23722" w:rsidRDefault="00A23722" w:rsidP="00A23722">
      <w:pPr>
        <w:widowControl w:val="0"/>
        <w:spacing w:after="0" w:line="240" w:lineRule="auto"/>
        <w:rPr>
          <w:rFonts w:eastAsia="Times New Roman" w:cs="Arial"/>
          <w:snapToGrid w:val="0"/>
          <w:szCs w:val="24"/>
        </w:rPr>
      </w:pPr>
    </w:p>
    <w:p w14:paraId="612A08AF" w14:textId="77777777" w:rsidR="00A23722" w:rsidRPr="00A23722" w:rsidRDefault="00A23722" w:rsidP="00A23722">
      <w:pPr>
        <w:widowControl w:val="0"/>
        <w:spacing w:after="0" w:line="240" w:lineRule="auto"/>
        <w:rPr>
          <w:rFonts w:eastAsia="Times New Roman" w:cs="Arial"/>
          <w:snapToGrid w:val="0"/>
          <w:szCs w:val="24"/>
        </w:rPr>
      </w:pPr>
      <w:r w:rsidRPr="00A23722">
        <w:rPr>
          <w:rFonts w:eastAsia="Times New Roman" w:cs="Arial"/>
          <w:snapToGrid w:val="0"/>
          <w:szCs w:val="24"/>
        </w:rPr>
        <w:t xml:space="preserve">Calculating Quality Reporting Service (CQRS) includes local functionality to support creating and recording membership of PCNs. Commissioners are being asked to use this functionality to support mapping GP practices to PCNs.  </w:t>
      </w:r>
    </w:p>
    <w:p w14:paraId="249C1018" w14:textId="77777777" w:rsidR="00A23722" w:rsidRPr="00A23722" w:rsidRDefault="00A23722" w:rsidP="00A23722">
      <w:pPr>
        <w:widowControl w:val="0"/>
        <w:spacing w:after="0" w:line="240" w:lineRule="auto"/>
        <w:rPr>
          <w:rFonts w:eastAsia="Times New Roman" w:cs="Arial"/>
          <w:snapToGrid w:val="0"/>
          <w:szCs w:val="24"/>
        </w:rPr>
      </w:pPr>
    </w:p>
    <w:p w14:paraId="12223F7D" w14:textId="77777777" w:rsidR="00A23722" w:rsidRPr="00A23722" w:rsidRDefault="00A23722" w:rsidP="00A23722">
      <w:pPr>
        <w:widowControl w:val="0"/>
        <w:spacing w:after="0" w:line="240" w:lineRule="auto"/>
        <w:rPr>
          <w:rFonts w:eastAsia="Times New Roman" w:cs="Arial"/>
          <w:snapToGrid w:val="0"/>
          <w:szCs w:val="24"/>
        </w:rPr>
      </w:pPr>
      <w:r w:rsidRPr="00A23722">
        <w:rPr>
          <w:rFonts w:eastAsia="Times New Roman" w:cs="Arial"/>
          <w:snapToGrid w:val="0"/>
          <w:szCs w:val="24"/>
        </w:rPr>
        <w:t xml:space="preserve">To ensure PCNs are established using a suitable name and to avoid duplication of work, it is proposed that commissioners consider this guidance when inputting PCN information into the CQRS. This will aid the national work being undertaken to allocate ODS codes to PCNs and reduce the need for altering PCN names </w:t>
      </w:r>
      <w:proofErr w:type="gramStart"/>
      <w:r w:rsidRPr="00A23722">
        <w:rPr>
          <w:rFonts w:eastAsia="Times New Roman" w:cs="Arial"/>
          <w:snapToGrid w:val="0"/>
          <w:szCs w:val="24"/>
        </w:rPr>
        <w:t>at a later date</w:t>
      </w:r>
      <w:proofErr w:type="gramEnd"/>
      <w:r w:rsidRPr="00A23722">
        <w:rPr>
          <w:rFonts w:eastAsia="Times New Roman" w:cs="Arial"/>
          <w:snapToGrid w:val="0"/>
          <w:szCs w:val="24"/>
        </w:rPr>
        <w:t>, if they do no meeting the naming conventions.</w:t>
      </w:r>
    </w:p>
    <w:p w14:paraId="46EA5EEC" w14:textId="77777777" w:rsidR="00A23722" w:rsidRPr="00A23722" w:rsidRDefault="00A23722" w:rsidP="00A23722">
      <w:pPr>
        <w:widowControl w:val="0"/>
        <w:spacing w:after="0" w:line="240" w:lineRule="auto"/>
        <w:rPr>
          <w:rFonts w:eastAsia="Times New Roman" w:cs="Arial"/>
          <w:snapToGrid w:val="0"/>
          <w:szCs w:val="24"/>
        </w:rPr>
      </w:pPr>
    </w:p>
    <w:p w14:paraId="28486CA3" w14:textId="77777777" w:rsidR="00A23722" w:rsidRPr="00A23722" w:rsidRDefault="00A23722" w:rsidP="00A23722">
      <w:pPr>
        <w:widowControl w:val="0"/>
        <w:spacing w:after="0" w:line="240" w:lineRule="auto"/>
        <w:rPr>
          <w:rFonts w:eastAsia="Times New Roman" w:cs="Arial"/>
          <w:snapToGrid w:val="0"/>
          <w:szCs w:val="24"/>
        </w:rPr>
      </w:pPr>
      <w:r w:rsidRPr="00A23722">
        <w:rPr>
          <w:rFonts w:eastAsia="Times New Roman" w:cs="Arial"/>
          <w:snapToGrid w:val="0"/>
          <w:szCs w:val="24"/>
        </w:rPr>
        <w:t xml:space="preserve">Further information on how to create PCNs in CQRS is available at: </w:t>
      </w:r>
      <w:hyperlink r:id="rId16" w:history="1">
        <w:r w:rsidRPr="00A23722">
          <w:rPr>
            <w:rFonts w:eastAsia="Times New Roman" w:cs="Arial"/>
            <w:snapToGrid w:val="0"/>
            <w:color w:val="0000FF"/>
            <w:szCs w:val="24"/>
            <w:u w:val="single"/>
          </w:rPr>
          <w:t>https://digital.nhs.uk/services/general-practice-gp-collections/user-support-and-training/cqrs-user-guides/primary-care-networks-user-guidance</w:t>
        </w:r>
      </w:hyperlink>
      <w:r w:rsidRPr="00A23722">
        <w:rPr>
          <w:rFonts w:eastAsia="Times New Roman" w:cs="Arial"/>
          <w:snapToGrid w:val="0"/>
          <w:color w:val="0000FF"/>
          <w:szCs w:val="24"/>
          <w:u w:val="single"/>
        </w:rPr>
        <w:t xml:space="preserve">  </w:t>
      </w:r>
    </w:p>
    <w:p w14:paraId="7D7C6814" w14:textId="77777777" w:rsidR="00A23722" w:rsidRPr="00A23722" w:rsidRDefault="00A23722" w:rsidP="00A23722">
      <w:pPr>
        <w:widowControl w:val="0"/>
        <w:spacing w:after="0" w:line="240" w:lineRule="auto"/>
        <w:rPr>
          <w:rFonts w:eastAsia="Times New Roman" w:cs="Arial"/>
          <w:snapToGrid w:val="0"/>
          <w:szCs w:val="24"/>
        </w:rPr>
      </w:pPr>
    </w:p>
    <w:p w14:paraId="28B1B051" w14:textId="77777777" w:rsidR="00A23722" w:rsidRPr="00A23722" w:rsidRDefault="00A23722" w:rsidP="00A23722">
      <w:pPr>
        <w:widowControl w:val="0"/>
        <w:spacing w:after="0" w:line="240" w:lineRule="auto"/>
        <w:rPr>
          <w:rFonts w:eastAsia="Times New Roman" w:cs="Arial"/>
          <w:b/>
          <w:snapToGrid w:val="0"/>
          <w:szCs w:val="24"/>
        </w:rPr>
      </w:pPr>
      <w:r w:rsidRPr="00A23722">
        <w:rPr>
          <w:rFonts w:eastAsia="Times New Roman" w:cs="Arial"/>
          <w:b/>
          <w:snapToGrid w:val="0"/>
          <w:szCs w:val="24"/>
        </w:rPr>
        <w:t>Organisation data service requirements</w:t>
      </w:r>
    </w:p>
    <w:p w14:paraId="43C5E061" w14:textId="77777777" w:rsidR="00A23722" w:rsidRPr="00A23722" w:rsidRDefault="00A23722" w:rsidP="00A23722">
      <w:pPr>
        <w:widowControl w:val="0"/>
        <w:spacing w:after="0" w:line="240" w:lineRule="auto"/>
        <w:rPr>
          <w:rFonts w:eastAsia="Times New Roman" w:cs="Arial"/>
          <w:b/>
          <w:snapToGrid w:val="0"/>
          <w:szCs w:val="24"/>
        </w:rPr>
      </w:pPr>
    </w:p>
    <w:p w14:paraId="193DB19F" w14:textId="77777777" w:rsidR="00A23722" w:rsidRPr="00A23722" w:rsidRDefault="00A23722" w:rsidP="00A23722">
      <w:pPr>
        <w:widowControl w:val="0"/>
        <w:spacing w:after="0" w:line="240" w:lineRule="auto"/>
        <w:rPr>
          <w:rFonts w:eastAsia="Times New Roman" w:cs="Arial"/>
          <w:snapToGrid w:val="0"/>
          <w:szCs w:val="24"/>
          <w:u w:val="single"/>
        </w:rPr>
      </w:pPr>
      <w:r w:rsidRPr="00A23722">
        <w:rPr>
          <w:rFonts w:eastAsia="Times New Roman" w:cs="Arial"/>
          <w:snapToGrid w:val="0"/>
          <w:szCs w:val="24"/>
          <w:u w:val="single"/>
        </w:rPr>
        <w:t>Naming conventions</w:t>
      </w:r>
    </w:p>
    <w:p w14:paraId="6ED3E611" w14:textId="77777777" w:rsidR="00A23722" w:rsidRPr="00A23722" w:rsidRDefault="00A23722" w:rsidP="00A23722">
      <w:pPr>
        <w:widowControl w:val="0"/>
        <w:spacing w:after="0" w:line="240" w:lineRule="auto"/>
        <w:rPr>
          <w:rFonts w:eastAsia="Times New Roman" w:cs="Arial"/>
          <w:snapToGrid w:val="0"/>
          <w:szCs w:val="24"/>
        </w:rPr>
      </w:pPr>
    </w:p>
    <w:p w14:paraId="522E1B0D" w14:textId="77777777" w:rsidR="00A23722" w:rsidRPr="00A23722" w:rsidRDefault="00A23722" w:rsidP="00A23722">
      <w:pPr>
        <w:widowControl w:val="0"/>
        <w:spacing w:after="0" w:line="240" w:lineRule="auto"/>
        <w:rPr>
          <w:rFonts w:eastAsia="Times New Roman" w:cs="Arial"/>
          <w:snapToGrid w:val="0"/>
          <w:szCs w:val="24"/>
        </w:rPr>
      </w:pPr>
      <w:r w:rsidRPr="00A23722">
        <w:rPr>
          <w:rFonts w:eastAsia="Times New Roman" w:cs="Arial"/>
          <w:snapToGrid w:val="0"/>
          <w:szCs w:val="24"/>
        </w:rPr>
        <w:t>To comply with the naming conventions required by ODS, PCN names will need to meet the following requirements:</w:t>
      </w:r>
    </w:p>
    <w:p w14:paraId="4DD0ABBF" w14:textId="77777777" w:rsidR="00A23722" w:rsidRPr="00A23722" w:rsidRDefault="00A23722" w:rsidP="00A23722">
      <w:pPr>
        <w:widowControl w:val="0"/>
        <w:spacing w:after="0" w:line="240" w:lineRule="auto"/>
        <w:rPr>
          <w:rFonts w:eastAsia="Times New Roman" w:cs="Arial"/>
          <w:snapToGrid w:val="0"/>
          <w:szCs w:val="24"/>
        </w:rPr>
      </w:pPr>
    </w:p>
    <w:p w14:paraId="5959990C" w14:textId="77777777" w:rsidR="00A23722" w:rsidRPr="00A23722" w:rsidRDefault="00A23722" w:rsidP="00A23722">
      <w:pPr>
        <w:widowControl w:val="0"/>
        <w:numPr>
          <w:ilvl w:val="0"/>
          <w:numId w:val="2"/>
        </w:numPr>
        <w:spacing w:after="0" w:line="240" w:lineRule="auto"/>
        <w:contextualSpacing/>
        <w:rPr>
          <w:rFonts w:eastAsia="Times New Roman" w:cs="Arial"/>
          <w:snapToGrid w:val="0"/>
          <w:szCs w:val="24"/>
        </w:rPr>
      </w:pPr>
      <w:r w:rsidRPr="00A23722">
        <w:rPr>
          <w:rFonts w:eastAsia="Times New Roman" w:cs="Arial"/>
          <w:snapToGrid w:val="0"/>
          <w:szCs w:val="24"/>
        </w:rPr>
        <w:t>Include as a suffix the letters ‘PCN’.</w:t>
      </w:r>
    </w:p>
    <w:p w14:paraId="5D515951" w14:textId="77777777" w:rsidR="00A23722" w:rsidRPr="00A23722" w:rsidRDefault="00A23722" w:rsidP="00A23722">
      <w:pPr>
        <w:widowControl w:val="0"/>
        <w:numPr>
          <w:ilvl w:val="0"/>
          <w:numId w:val="2"/>
        </w:numPr>
        <w:spacing w:after="0" w:line="240" w:lineRule="auto"/>
        <w:contextualSpacing/>
        <w:rPr>
          <w:rFonts w:eastAsia="Times New Roman" w:cs="Arial"/>
          <w:snapToGrid w:val="0"/>
          <w:szCs w:val="24"/>
        </w:rPr>
      </w:pPr>
      <w:r w:rsidRPr="00A23722">
        <w:rPr>
          <w:rFonts w:eastAsia="Times New Roman" w:cs="Arial"/>
          <w:snapToGrid w:val="0"/>
          <w:szCs w:val="24"/>
        </w:rPr>
        <w:t>Be limited to a maximum of 40 characters, including the suffix of ‘PCN’.</w:t>
      </w:r>
    </w:p>
    <w:p w14:paraId="14DC7137" w14:textId="77777777" w:rsidR="00A23722" w:rsidRPr="00A23722" w:rsidRDefault="00A23722" w:rsidP="00A23722">
      <w:pPr>
        <w:widowControl w:val="0"/>
        <w:numPr>
          <w:ilvl w:val="0"/>
          <w:numId w:val="2"/>
        </w:numPr>
        <w:spacing w:after="0" w:line="240" w:lineRule="auto"/>
        <w:contextualSpacing/>
        <w:rPr>
          <w:rFonts w:eastAsia="Times New Roman" w:cs="Arial"/>
          <w:snapToGrid w:val="0"/>
          <w:szCs w:val="24"/>
        </w:rPr>
      </w:pPr>
      <w:r w:rsidRPr="00A23722">
        <w:rPr>
          <w:rFonts w:eastAsia="Times New Roman" w:cs="Arial"/>
          <w:snapToGrid w:val="0"/>
          <w:szCs w:val="24"/>
        </w:rPr>
        <w:t xml:space="preserve">PCN names need to be as unique as possible and not simply be numbered to </w:t>
      </w:r>
      <w:r w:rsidRPr="00A23722">
        <w:rPr>
          <w:rFonts w:eastAsia="Times New Roman" w:cs="Arial"/>
          <w:snapToGrid w:val="0"/>
          <w:szCs w:val="24"/>
        </w:rPr>
        <w:lastRenderedPageBreak/>
        <w:t>differentiate between them, (i.e. avoid use of ‘North’ or ‘PCN1’). Introducing a geographic element to the name may help (i.e. ‘Barking &amp; Dagenham North PCN’, rather than just ‘North PCN’).</w:t>
      </w:r>
    </w:p>
    <w:p w14:paraId="67EFF6F6" w14:textId="77777777" w:rsidR="00A23722" w:rsidRPr="00A23722" w:rsidRDefault="00A23722" w:rsidP="00A23722">
      <w:pPr>
        <w:widowControl w:val="0"/>
        <w:spacing w:after="0" w:line="240" w:lineRule="auto"/>
        <w:ind w:left="360"/>
        <w:contextualSpacing/>
        <w:rPr>
          <w:rFonts w:eastAsia="Times New Roman" w:cs="Arial"/>
          <w:snapToGrid w:val="0"/>
          <w:szCs w:val="24"/>
        </w:rPr>
      </w:pPr>
      <w:r w:rsidRPr="00A23722">
        <w:rPr>
          <w:rFonts w:eastAsia="Times New Roman" w:cs="Arial"/>
          <w:snapToGrid w:val="0"/>
          <w:szCs w:val="24"/>
        </w:rPr>
        <w:t>If required, numbering PCNs whilst including the CCG area name should be acceptable, as they should still be nationally unique names (i.e. ‘Durham Dales (1) PCN’ and ‘Durham Dales (2) PCN’ etc.</w:t>
      </w:r>
    </w:p>
    <w:p w14:paraId="7BE22D1B" w14:textId="77777777" w:rsidR="00A23722" w:rsidRPr="00A23722" w:rsidRDefault="00A23722" w:rsidP="00A23722">
      <w:pPr>
        <w:widowControl w:val="0"/>
        <w:numPr>
          <w:ilvl w:val="0"/>
          <w:numId w:val="2"/>
        </w:numPr>
        <w:spacing w:after="0" w:line="240" w:lineRule="auto"/>
        <w:contextualSpacing/>
        <w:rPr>
          <w:rFonts w:eastAsia="Times New Roman" w:cs="Arial"/>
          <w:snapToGrid w:val="0"/>
          <w:szCs w:val="24"/>
        </w:rPr>
      </w:pPr>
      <w:r w:rsidRPr="00A23722">
        <w:rPr>
          <w:rFonts w:eastAsia="Times New Roman" w:cs="Arial"/>
          <w:snapToGrid w:val="0"/>
          <w:szCs w:val="24"/>
        </w:rPr>
        <w:t>We recommend expanding acronyms for clarity (i.e. WACA, APL) if the 40-character limit allows. The PCN acronym is acceptable as the expansion of PCN will be included in ODS role reference data.</w:t>
      </w:r>
    </w:p>
    <w:p w14:paraId="2EE95AAC" w14:textId="77777777" w:rsidR="00A23722" w:rsidRPr="00A23722" w:rsidRDefault="00A23722" w:rsidP="00A23722">
      <w:pPr>
        <w:widowControl w:val="0"/>
        <w:numPr>
          <w:ilvl w:val="0"/>
          <w:numId w:val="2"/>
        </w:numPr>
        <w:spacing w:after="0" w:line="240" w:lineRule="auto"/>
        <w:contextualSpacing/>
        <w:rPr>
          <w:rFonts w:eastAsia="Times New Roman" w:cs="Arial"/>
          <w:snapToGrid w:val="0"/>
          <w:szCs w:val="24"/>
        </w:rPr>
      </w:pPr>
      <w:r w:rsidRPr="00A23722">
        <w:rPr>
          <w:rFonts w:eastAsia="Times New Roman" w:cs="Arial"/>
          <w:snapToGrid w:val="0"/>
          <w:szCs w:val="24"/>
        </w:rPr>
        <w:t>Standard practice would be to use ‘and’ in organisation names if required, but ‘&amp;’ can be used in the PCN name if it is reaching/exceeding the 40-character limit</w:t>
      </w:r>
    </w:p>
    <w:p w14:paraId="494847AF" w14:textId="77777777" w:rsidR="00A23722" w:rsidRPr="00A23722" w:rsidRDefault="00A23722" w:rsidP="00A23722">
      <w:pPr>
        <w:widowControl w:val="0"/>
        <w:spacing w:after="0" w:line="240" w:lineRule="auto"/>
        <w:ind w:left="360"/>
        <w:contextualSpacing/>
        <w:rPr>
          <w:rFonts w:eastAsia="Times New Roman" w:cs="Arial"/>
          <w:snapToGrid w:val="0"/>
          <w:szCs w:val="24"/>
        </w:rPr>
      </w:pPr>
    </w:p>
    <w:p w14:paraId="74F2DE30" w14:textId="77777777" w:rsidR="00A23722" w:rsidRPr="00A23722" w:rsidRDefault="00A23722" w:rsidP="00A23722">
      <w:pPr>
        <w:widowControl w:val="0"/>
        <w:spacing w:after="0" w:line="240" w:lineRule="auto"/>
        <w:rPr>
          <w:rFonts w:eastAsia="Times New Roman" w:cs="Arial"/>
          <w:snapToGrid w:val="0"/>
          <w:szCs w:val="24"/>
          <w:u w:val="single"/>
        </w:rPr>
      </w:pPr>
      <w:r w:rsidRPr="00A23722">
        <w:rPr>
          <w:rFonts w:eastAsia="Times New Roman" w:cs="Arial"/>
          <w:snapToGrid w:val="0"/>
          <w:szCs w:val="24"/>
          <w:u w:val="single"/>
        </w:rPr>
        <w:t>Postal address</w:t>
      </w:r>
    </w:p>
    <w:p w14:paraId="2442BA92" w14:textId="77777777" w:rsidR="00A23722" w:rsidRPr="00A23722" w:rsidRDefault="00A23722" w:rsidP="00A23722">
      <w:pPr>
        <w:widowControl w:val="0"/>
        <w:spacing w:after="0" w:line="240" w:lineRule="auto"/>
        <w:rPr>
          <w:rFonts w:eastAsia="Times New Roman" w:cs="Arial"/>
          <w:snapToGrid w:val="0"/>
          <w:szCs w:val="24"/>
        </w:rPr>
      </w:pPr>
    </w:p>
    <w:p w14:paraId="2EFC3281" w14:textId="77777777" w:rsidR="00A23722" w:rsidRPr="00A23722" w:rsidRDefault="00A23722" w:rsidP="00A23722">
      <w:pPr>
        <w:widowControl w:val="0"/>
        <w:spacing w:after="0" w:line="240" w:lineRule="auto"/>
        <w:rPr>
          <w:rFonts w:eastAsia="Times New Roman" w:cs="Arial"/>
          <w:snapToGrid w:val="0"/>
          <w:szCs w:val="24"/>
        </w:rPr>
      </w:pPr>
      <w:r w:rsidRPr="00A23722">
        <w:rPr>
          <w:rFonts w:eastAsia="Times New Roman" w:cs="Arial"/>
          <w:snapToGrid w:val="0"/>
          <w:szCs w:val="24"/>
        </w:rPr>
        <w:t xml:space="preserve">Each PCN will be required to provide a valid UK address to enable the ODS system to validate the setup against the Royal Mail database. In addition to being used as part of the ODS validation process, this address will be published alongside the PCN name in both ODS and NHS Choices, and may be used for any mail correspondence purposes. PCNs are therefore advised to consider which PCN member’s address would be the most suitable. </w:t>
      </w:r>
    </w:p>
    <w:p w14:paraId="1C2A52EF" w14:textId="77777777" w:rsidR="00A23722" w:rsidRPr="00A23722" w:rsidRDefault="00A23722" w:rsidP="00A23722">
      <w:pPr>
        <w:widowControl w:val="0"/>
        <w:spacing w:after="0" w:line="240" w:lineRule="auto"/>
        <w:rPr>
          <w:rFonts w:eastAsia="Times New Roman" w:cs="Arial"/>
          <w:snapToGrid w:val="0"/>
          <w:szCs w:val="24"/>
        </w:rPr>
      </w:pPr>
    </w:p>
    <w:p w14:paraId="1EBC6D06" w14:textId="77777777" w:rsidR="00A23722" w:rsidRPr="00A23722" w:rsidRDefault="00A23722" w:rsidP="00A23722">
      <w:pPr>
        <w:widowControl w:val="0"/>
        <w:spacing w:after="0" w:line="240" w:lineRule="auto"/>
        <w:rPr>
          <w:rFonts w:eastAsia="Times New Roman" w:cs="Arial"/>
          <w:snapToGrid w:val="0"/>
          <w:szCs w:val="24"/>
        </w:rPr>
      </w:pPr>
      <w:r w:rsidRPr="00A23722">
        <w:rPr>
          <w:rFonts w:eastAsia="Times New Roman" w:cs="Arial"/>
          <w:snapToGrid w:val="0"/>
          <w:szCs w:val="24"/>
        </w:rPr>
        <w:t>The information required is as follows:</w:t>
      </w:r>
    </w:p>
    <w:p w14:paraId="3DAF3C9F" w14:textId="77777777" w:rsidR="00A23722" w:rsidRPr="00A23722" w:rsidRDefault="00A23722" w:rsidP="00A23722">
      <w:pPr>
        <w:widowControl w:val="0"/>
        <w:numPr>
          <w:ilvl w:val="0"/>
          <w:numId w:val="3"/>
        </w:numPr>
        <w:spacing w:after="0" w:line="240" w:lineRule="auto"/>
        <w:contextualSpacing/>
        <w:rPr>
          <w:rFonts w:eastAsia="Times New Roman" w:cs="Arial"/>
          <w:snapToGrid w:val="0"/>
          <w:szCs w:val="24"/>
        </w:rPr>
      </w:pPr>
      <w:r w:rsidRPr="00A23722">
        <w:rPr>
          <w:rFonts w:eastAsia="Times New Roman" w:cs="Arial"/>
          <w:snapToGrid w:val="0"/>
          <w:szCs w:val="24"/>
        </w:rPr>
        <w:t>Organisation name (PCN)</w:t>
      </w:r>
    </w:p>
    <w:p w14:paraId="06B57782" w14:textId="77777777" w:rsidR="00A23722" w:rsidRPr="00A23722" w:rsidRDefault="00A23722" w:rsidP="00A23722">
      <w:pPr>
        <w:widowControl w:val="0"/>
        <w:numPr>
          <w:ilvl w:val="0"/>
          <w:numId w:val="3"/>
        </w:numPr>
        <w:spacing w:after="0" w:line="240" w:lineRule="auto"/>
        <w:contextualSpacing/>
        <w:rPr>
          <w:rFonts w:eastAsia="Times New Roman" w:cs="Arial"/>
          <w:snapToGrid w:val="0"/>
          <w:szCs w:val="24"/>
        </w:rPr>
      </w:pPr>
      <w:r w:rsidRPr="00A23722">
        <w:rPr>
          <w:rFonts w:eastAsia="Times New Roman" w:cs="Arial"/>
          <w:snapToGrid w:val="0"/>
          <w:szCs w:val="24"/>
        </w:rPr>
        <w:t>Address 1</w:t>
      </w:r>
    </w:p>
    <w:p w14:paraId="7AB65E3C" w14:textId="77777777" w:rsidR="00A23722" w:rsidRPr="00A23722" w:rsidRDefault="00A23722" w:rsidP="00A23722">
      <w:pPr>
        <w:widowControl w:val="0"/>
        <w:numPr>
          <w:ilvl w:val="0"/>
          <w:numId w:val="3"/>
        </w:numPr>
        <w:spacing w:after="0" w:line="240" w:lineRule="auto"/>
        <w:contextualSpacing/>
        <w:rPr>
          <w:rFonts w:eastAsia="Times New Roman" w:cs="Arial"/>
          <w:snapToGrid w:val="0"/>
          <w:szCs w:val="24"/>
        </w:rPr>
      </w:pPr>
      <w:r w:rsidRPr="00A23722">
        <w:rPr>
          <w:rFonts w:eastAsia="Times New Roman" w:cs="Arial"/>
          <w:snapToGrid w:val="0"/>
          <w:szCs w:val="24"/>
        </w:rPr>
        <w:t>Address 2</w:t>
      </w:r>
    </w:p>
    <w:p w14:paraId="414A23D9" w14:textId="77777777" w:rsidR="00A23722" w:rsidRPr="00A23722" w:rsidRDefault="00A23722" w:rsidP="00A23722">
      <w:pPr>
        <w:widowControl w:val="0"/>
        <w:numPr>
          <w:ilvl w:val="0"/>
          <w:numId w:val="3"/>
        </w:numPr>
        <w:spacing w:after="0" w:line="240" w:lineRule="auto"/>
        <w:contextualSpacing/>
        <w:rPr>
          <w:rFonts w:eastAsia="Times New Roman" w:cs="Arial"/>
          <w:snapToGrid w:val="0"/>
          <w:szCs w:val="24"/>
        </w:rPr>
      </w:pPr>
      <w:r w:rsidRPr="00A23722">
        <w:rPr>
          <w:rFonts w:eastAsia="Times New Roman" w:cs="Arial"/>
          <w:snapToGrid w:val="0"/>
          <w:szCs w:val="24"/>
        </w:rPr>
        <w:t>Town/City</w:t>
      </w:r>
    </w:p>
    <w:p w14:paraId="544E2601" w14:textId="77777777" w:rsidR="00A23722" w:rsidRPr="00A23722" w:rsidRDefault="00A23722" w:rsidP="00A23722">
      <w:pPr>
        <w:widowControl w:val="0"/>
        <w:numPr>
          <w:ilvl w:val="0"/>
          <w:numId w:val="3"/>
        </w:numPr>
        <w:spacing w:after="0" w:line="240" w:lineRule="auto"/>
        <w:contextualSpacing/>
        <w:rPr>
          <w:rFonts w:eastAsia="Times New Roman" w:cs="Arial"/>
          <w:snapToGrid w:val="0"/>
          <w:szCs w:val="24"/>
        </w:rPr>
      </w:pPr>
      <w:r w:rsidRPr="00A23722">
        <w:rPr>
          <w:rFonts w:eastAsia="Times New Roman" w:cs="Arial"/>
          <w:snapToGrid w:val="0"/>
          <w:szCs w:val="24"/>
        </w:rPr>
        <w:t>Postcode</w:t>
      </w:r>
    </w:p>
    <w:p w14:paraId="5514DCF6" w14:textId="5B0DA7F7" w:rsidR="00A23722" w:rsidRDefault="00A23722" w:rsidP="00A23722">
      <w:pPr>
        <w:widowControl w:val="0"/>
        <w:spacing w:after="0" w:line="240" w:lineRule="auto"/>
        <w:rPr>
          <w:rFonts w:eastAsia="Times New Roman" w:cs="Arial"/>
          <w:snapToGrid w:val="0"/>
          <w:szCs w:val="24"/>
        </w:rPr>
      </w:pPr>
    </w:p>
    <w:p w14:paraId="4DBE09FE" w14:textId="4D0500BE" w:rsidR="008E05E0" w:rsidRDefault="008E05E0" w:rsidP="008E05E0">
      <w:pPr>
        <w:rPr>
          <w:rFonts w:cs="Arial"/>
          <w:szCs w:val="24"/>
        </w:rPr>
      </w:pPr>
      <w:r>
        <w:rPr>
          <w:rFonts w:cs="Arial"/>
          <w:szCs w:val="24"/>
        </w:rPr>
        <w:t>Please could commissioners collect this information</w:t>
      </w:r>
      <w:r w:rsidR="00626329">
        <w:rPr>
          <w:rFonts w:cs="Arial"/>
          <w:szCs w:val="24"/>
        </w:rPr>
        <w:t xml:space="preserve"> from their PCNs</w:t>
      </w:r>
      <w:r>
        <w:rPr>
          <w:rFonts w:cs="Arial"/>
          <w:szCs w:val="24"/>
        </w:rPr>
        <w:t xml:space="preserve">. </w:t>
      </w:r>
      <w:r w:rsidR="00626329">
        <w:rPr>
          <w:rFonts w:cs="Arial"/>
          <w:szCs w:val="24"/>
        </w:rPr>
        <w:t>Further information</w:t>
      </w:r>
      <w:r>
        <w:rPr>
          <w:rFonts w:cs="Arial"/>
          <w:szCs w:val="24"/>
        </w:rPr>
        <w:t xml:space="preserve"> </w:t>
      </w:r>
      <w:r w:rsidR="00A36DD6">
        <w:rPr>
          <w:rFonts w:cs="Arial"/>
          <w:szCs w:val="24"/>
        </w:rPr>
        <w:t>will be sent out via</w:t>
      </w:r>
      <w:r w:rsidR="00626329">
        <w:rPr>
          <w:rFonts w:cs="Arial"/>
          <w:szCs w:val="24"/>
        </w:rPr>
        <w:t xml:space="preserve"> </w:t>
      </w:r>
      <w:r w:rsidR="00A36DD6">
        <w:rPr>
          <w:rFonts w:cs="Arial"/>
          <w:szCs w:val="24"/>
        </w:rPr>
        <w:t xml:space="preserve">NHS Digital </w:t>
      </w:r>
      <w:r w:rsidR="00626329">
        <w:rPr>
          <w:rFonts w:cs="Arial"/>
          <w:szCs w:val="24"/>
        </w:rPr>
        <w:t>regarding how to submit the information to support the PCN ODS coding work</w:t>
      </w:r>
      <w:r>
        <w:rPr>
          <w:rFonts w:cs="Arial"/>
          <w:szCs w:val="24"/>
        </w:rPr>
        <w:t xml:space="preserve">.  </w:t>
      </w:r>
    </w:p>
    <w:p w14:paraId="1C6DB916" w14:textId="77777777" w:rsidR="00A23722" w:rsidRPr="00A23722" w:rsidRDefault="00A23722" w:rsidP="00A23722">
      <w:pPr>
        <w:widowControl w:val="0"/>
        <w:spacing w:after="0" w:line="240" w:lineRule="auto"/>
        <w:rPr>
          <w:rFonts w:eastAsia="Times New Roman" w:cs="Arial"/>
          <w:b/>
          <w:snapToGrid w:val="0"/>
          <w:szCs w:val="24"/>
        </w:rPr>
      </w:pPr>
      <w:r w:rsidRPr="00A23722">
        <w:rPr>
          <w:rFonts w:eastAsia="Times New Roman" w:cs="Arial"/>
          <w:b/>
          <w:snapToGrid w:val="0"/>
          <w:szCs w:val="24"/>
        </w:rPr>
        <w:t>Queries</w:t>
      </w:r>
    </w:p>
    <w:p w14:paraId="3862542A" w14:textId="77777777" w:rsidR="00A23722" w:rsidRPr="00A23722" w:rsidRDefault="00A23722" w:rsidP="00A23722">
      <w:pPr>
        <w:widowControl w:val="0"/>
        <w:spacing w:after="0" w:line="240" w:lineRule="auto"/>
        <w:rPr>
          <w:rFonts w:eastAsia="Times New Roman" w:cs="Arial"/>
          <w:snapToGrid w:val="0"/>
          <w:szCs w:val="24"/>
        </w:rPr>
      </w:pPr>
    </w:p>
    <w:p w14:paraId="2F439A90" w14:textId="77777777" w:rsidR="00A23722" w:rsidRPr="00A23722" w:rsidRDefault="00A23722" w:rsidP="00A23722">
      <w:pPr>
        <w:widowControl w:val="0"/>
        <w:spacing w:after="0" w:line="240" w:lineRule="auto"/>
        <w:rPr>
          <w:rFonts w:eastAsia="Times New Roman" w:cs="Arial"/>
          <w:snapToGrid w:val="0"/>
          <w:szCs w:val="24"/>
        </w:rPr>
      </w:pPr>
      <w:r w:rsidRPr="00A23722">
        <w:rPr>
          <w:rFonts w:eastAsia="Times New Roman" w:cs="Arial"/>
          <w:snapToGrid w:val="0"/>
          <w:szCs w:val="24"/>
        </w:rPr>
        <w:t xml:space="preserve">If you have any queries regarding the requirements for PCN names or information about ODS, please contact </w:t>
      </w:r>
      <w:hyperlink r:id="rId17" w:history="1">
        <w:r w:rsidRPr="00A23722">
          <w:rPr>
            <w:rFonts w:eastAsia="Times New Roman" w:cs="Arial"/>
            <w:snapToGrid w:val="0"/>
            <w:color w:val="0000FF"/>
            <w:szCs w:val="24"/>
            <w:u w:val="single"/>
          </w:rPr>
          <w:t>exeter.helpdesk@nhs.net</w:t>
        </w:r>
      </w:hyperlink>
      <w:r w:rsidRPr="00A23722">
        <w:rPr>
          <w:rFonts w:eastAsia="Times New Roman" w:cs="Arial"/>
          <w:snapToGrid w:val="0"/>
          <w:szCs w:val="24"/>
        </w:rPr>
        <w:t xml:space="preserve"> including ‘ODS PCN query’ in the subject line.</w:t>
      </w:r>
    </w:p>
    <w:p w14:paraId="4F8D4ED8" w14:textId="77777777" w:rsidR="00A23722" w:rsidRPr="00A23722" w:rsidRDefault="00A23722" w:rsidP="00A23722">
      <w:pPr>
        <w:widowControl w:val="0"/>
        <w:spacing w:after="0" w:line="240" w:lineRule="auto"/>
        <w:rPr>
          <w:rFonts w:eastAsia="Times New Roman" w:cs="Arial"/>
          <w:snapToGrid w:val="0"/>
          <w:szCs w:val="24"/>
        </w:rPr>
      </w:pPr>
    </w:p>
    <w:p w14:paraId="7B1687B6" w14:textId="77777777" w:rsidR="00A23722" w:rsidRPr="00A23722" w:rsidRDefault="00A23722" w:rsidP="00A23722">
      <w:pPr>
        <w:widowControl w:val="0"/>
        <w:spacing w:after="0" w:line="240" w:lineRule="auto"/>
        <w:rPr>
          <w:rFonts w:eastAsia="Times New Roman" w:cs="Arial"/>
          <w:snapToGrid w:val="0"/>
          <w:sz w:val="20"/>
          <w:szCs w:val="20"/>
        </w:rPr>
      </w:pPr>
      <w:r w:rsidRPr="00A23722">
        <w:rPr>
          <w:rFonts w:eastAsia="Times New Roman" w:cs="Arial"/>
          <w:snapToGrid w:val="0"/>
          <w:szCs w:val="24"/>
        </w:rPr>
        <w:t xml:space="preserve">If you have any queries regarding the Network Contract DES, please contact </w:t>
      </w:r>
      <w:hyperlink r:id="rId18" w:history="1">
        <w:r w:rsidRPr="00A23722">
          <w:rPr>
            <w:rFonts w:eastAsia="Times New Roman" w:cs="Arial"/>
            <w:snapToGrid w:val="0"/>
            <w:color w:val="0000FF"/>
            <w:szCs w:val="24"/>
            <w:u w:val="single"/>
          </w:rPr>
          <w:t>england.gpcontracts@nhs.net</w:t>
        </w:r>
      </w:hyperlink>
      <w:r w:rsidRPr="00A23722">
        <w:rPr>
          <w:rFonts w:eastAsia="Times New Roman" w:cs="Arial"/>
          <w:snapToGrid w:val="0"/>
          <w:sz w:val="20"/>
          <w:szCs w:val="20"/>
        </w:rPr>
        <w:t xml:space="preserve"> </w:t>
      </w:r>
    </w:p>
    <w:p w14:paraId="2A6149C1" w14:textId="77777777" w:rsidR="00A23722" w:rsidRPr="00A23722" w:rsidRDefault="00A23722" w:rsidP="00A23722">
      <w:pPr>
        <w:widowControl w:val="0"/>
        <w:spacing w:after="0" w:line="276" w:lineRule="auto"/>
        <w:rPr>
          <w:rFonts w:eastAsia="Calibri" w:cs="Arial"/>
          <w:b/>
          <w:szCs w:val="24"/>
        </w:rPr>
      </w:pPr>
    </w:p>
    <w:p w14:paraId="5790BB2C" w14:textId="66696D30" w:rsidR="00A23722" w:rsidRDefault="00A23722" w:rsidP="00CB479C">
      <w:pPr>
        <w:rPr>
          <w:rFonts w:cs="Arial"/>
          <w:szCs w:val="24"/>
        </w:rPr>
      </w:pPr>
    </w:p>
    <w:sectPr w:rsidR="00A23722" w:rsidSect="00420D57">
      <w:footerReference w:type="default" r:id="rId19"/>
      <w:footerReference w:type="first" r:id="rId20"/>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652C" w14:textId="77777777" w:rsidR="003E2F89" w:rsidRDefault="003E2F89" w:rsidP="00CB479C">
      <w:pPr>
        <w:spacing w:after="0" w:line="240" w:lineRule="auto"/>
      </w:pPr>
      <w:r>
        <w:separator/>
      </w:r>
    </w:p>
  </w:endnote>
  <w:endnote w:type="continuationSeparator" w:id="0">
    <w:p w14:paraId="4B99056E" w14:textId="77777777" w:rsidR="003E2F89" w:rsidRDefault="003E2F89"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065997"/>
      <w:docPartObj>
        <w:docPartGallery w:val="Page Numbers (Bottom of Page)"/>
        <w:docPartUnique/>
      </w:docPartObj>
    </w:sdtPr>
    <w:sdtEndPr>
      <w:rPr>
        <w:noProof/>
      </w:rPr>
    </w:sdtEndPr>
    <w:sdtContent>
      <w:p w14:paraId="58A07D7C" w14:textId="78AB696E" w:rsidR="00AA738C" w:rsidRDefault="00AA73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78B8DE" w14:textId="77777777" w:rsidR="00AA738C" w:rsidRDefault="00AA7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87" w14:textId="31C26189" w:rsidR="00CB479C" w:rsidRDefault="00CB479C">
    <w:pPr>
      <w:pStyle w:val="Footer"/>
    </w:pPr>
    <w:r>
      <w:rPr>
        <w:noProof/>
      </w:rPr>
      <mc:AlternateContent>
        <mc:Choice Requires="wps">
          <w:drawing>
            <wp:anchor distT="0" distB="0" distL="114300" distR="114300" simplePos="0" relativeHeight="251661312" behindDoc="0" locked="0" layoutInCell="1" allowOverlap="1" wp14:anchorId="6C682EDA" wp14:editId="73DA5AA7">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57BBD98F"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82EDA" id="_x0000_t202" coordsize="21600,21600" o:spt="202" path="m,l,21600r21600,l21600,xe">
              <v:stroke joinstyle="miter"/>
              <v:path gradientshapeok="t" o:connecttype="rect"/>
            </v:shapetype>
            <v:shape id="Text Box 4" o:spid="_x0000_s1028"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14:paraId="57BBD98F" w14:textId="77777777"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9264" behindDoc="1" locked="0" layoutInCell="1" allowOverlap="1" wp14:anchorId="6E508DED" wp14:editId="2361A46D">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1" name="Picture 1"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C43A" w14:textId="77777777" w:rsidR="003E2F89" w:rsidRDefault="003E2F89" w:rsidP="00CB479C">
      <w:pPr>
        <w:spacing w:after="0" w:line="240" w:lineRule="auto"/>
      </w:pPr>
      <w:r>
        <w:separator/>
      </w:r>
    </w:p>
  </w:footnote>
  <w:footnote w:type="continuationSeparator" w:id="0">
    <w:p w14:paraId="4DDBEF00" w14:textId="77777777" w:rsidR="003E2F89" w:rsidRDefault="003E2F89" w:rsidP="00CB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202"/>
    <w:multiLevelType w:val="hybridMultilevel"/>
    <w:tmpl w:val="6514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83405"/>
    <w:multiLevelType w:val="hybridMultilevel"/>
    <w:tmpl w:val="2C1A3D1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63A6D55"/>
    <w:multiLevelType w:val="hybridMultilevel"/>
    <w:tmpl w:val="277E9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12418"/>
    <w:rsid w:val="0001704D"/>
    <w:rsid w:val="000D7070"/>
    <w:rsid w:val="0021299E"/>
    <w:rsid w:val="002D4FC0"/>
    <w:rsid w:val="00324B25"/>
    <w:rsid w:val="003E2F89"/>
    <w:rsid w:val="00420D57"/>
    <w:rsid w:val="00626329"/>
    <w:rsid w:val="007671AF"/>
    <w:rsid w:val="008E05E0"/>
    <w:rsid w:val="0091436F"/>
    <w:rsid w:val="009B60FC"/>
    <w:rsid w:val="00A23722"/>
    <w:rsid w:val="00A36DD6"/>
    <w:rsid w:val="00AA738C"/>
    <w:rsid w:val="00AD07DF"/>
    <w:rsid w:val="00BB5B35"/>
    <w:rsid w:val="00CB479C"/>
    <w:rsid w:val="00D5037C"/>
    <w:rsid w:val="00EB4C83"/>
    <w:rsid w:val="635C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16E54D"/>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publication/network-contract-directed-enhanced-service-data-templates/" TargetMode="External"/><Relationship Id="rId18" Type="http://schemas.openxmlformats.org/officeDocument/2006/relationships/hyperlink" Target="mailto:england.gpcontracts@nhs.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ngland.nhs.uk/publication/network-contract-directed-enhanced-service-additional-roles-reimbursement-scheme-guidance/" TargetMode="External"/><Relationship Id="rId17" Type="http://schemas.openxmlformats.org/officeDocument/2006/relationships/hyperlink" Target="mailto:exeter.helpdesk@nhs.net" TargetMode="External"/><Relationship Id="rId2" Type="http://schemas.openxmlformats.org/officeDocument/2006/relationships/customXml" Target="../customXml/item2.xml"/><Relationship Id="rId16" Type="http://schemas.openxmlformats.org/officeDocument/2006/relationships/hyperlink" Target="https://digital.nhs.uk/services/general-practice-gp-collections/user-support-and-training/cqrs-user-guides/primary-care-networks-user-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gpcontracts@nhs.net" TargetMode="External"/><Relationship Id="rId5" Type="http://schemas.openxmlformats.org/officeDocument/2006/relationships/styles" Target="styles.xml"/><Relationship Id="rId15" Type="http://schemas.openxmlformats.org/officeDocument/2006/relationships/hyperlink" Target="https://digital.nhs.uk/services/organisation-data-service"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services/general-practice-gp-collections/service-information/primary-care-network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Props1.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65602DB5-1938-48B7-A711-F1B86F749D3A}">
  <ds:schemaRefs>
    <ds:schemaRef ds:uri="http://www.w3.org/XML/1998/namespace"/>
    <ds:schemaRef ds:uri="http://purl.org/dc/terms/"/>
    <ds:schemaRef ds:uri="f90e7bc6-a3db-487f-b513-bfabef5bed32"/>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5d66da30-c57e-467e-bd92-94ce3dcc2d9c"/>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10958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Claire Leggett</cp:lastModifiedBy>
  <cp:revision>2</cp:revision>
  <dcterms:created xsi:type="dcterms:W3CDTF">2019-10-01T08:49:00Z</dcterms:created>
  <dcterms:modified xsi:type="dcterms:W3CDTF">2019-10-01T08:49:00Z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